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2"/>
        <w:gridCol w:w="2708"/>
        <w:gridCol w:w="1126"/>
        <w:gridCol w:w="1699"/>
        <w:gridCol w:w="1650"/>
      </w:tblGrid>
      <w:tr w:rsidR="009D7241" w14:paraId="2799EF32" w14:textId="77777777">
        <w:trPr>
          <w:trHeight w:val="851"/>
        </w:trPr>
        <w:tc>
          <w:tcPr>
            <w:tcW w:w="5490" w:type="dxa"/>
            <w:gridSpan w:val="2"/>
            <w:tcBorders>
              <w:right w:val="single" w:sz="4" w:space="0" w:color="000000"/>
            </w:tcBorders>
          </w:tcPr>
          <w:p w14:paraId="1FF277DE" w14:textId="77777777" w:rsidR="009D7241" w:rsidRDefault="004B03F2">
            <w:pPr>
              <w:pStyle w:val="TableParagraph"/>
              <w:spacing w:before="29" w:line="275" w:lineRule="exact"/>
              <w:ind w:left="963" w:right="973"/>
              <w:jc w:val="center"/>
              <w:rPr>
                <w:b/>
                <w:sz w:val="24"/>
              </w:rPr>
            </w:pPr>
            <w:r>
              <w:rPr>
                <w:b/>
                <w:sz w:val="24"/>
              </w:rPr>
              <w:t>Pharmacy</w:t>
            </w:r>
          </w:p>
          <w:p w14:paraId="33ED44CF" w14:textId="77777777" w:rsidR="009D7241" w:rsidRDefault="004B03F2">
            <w:pPr>
              <w:pStyle w:val="TableParagraph"/>
              <w:spacing w:line="275" w:lineRule="exact"/>
              <w:ind w:left="963" w:right="979"/>
              <w:jc w:val="center"/>
              <w:rPr>
                <w:b/>
                <w:sz w:val="24"/>
              </w:rPr>
            </w:pPr>
            <w:r>
              <w:rPr>
                <w:b/>
                <w:sz w:val="24"/>
              </w:rPr>
              <w:t>Standard Operating Procedure</w:t>
            </w:r>
          </w:p>
        </w:tc>
        <w:tc>
          <w:tcPr>
            <w:tcW w:w="4475" w:type="dxa"/>
            <w:gridSpan w:val="3"/>
            <w:tcBorders>
              <w:left w:val="single" w:sz="4" w:space="0" w:color="000000"/>
            </w:tcBorders>
          </w:tcPr>
          <w:p w14:paraId="307585C7" w14:textId="25026DF1" w:rsidR="009D7241" w:rsidRDefault="004B03F2">
            <w:pPr>
              <w:pStyle w:val="TableParagraph"/>
              <w:ind w:left="701"/>
              <w:rPr>
                <w:rFonts w:ascii="Times New Roman"/>
                <w:sz w:val="20"/>
              </w:rPr>
            </w:pPr>
            <w:r w:rsidRPr="004B03F2">
              <w:rPr>
                <w:rFonts w:ascii="Times New Roman"/>
                <w:noProof/>
                <w:sz w:val="20"/>
                <w:highlight w:val="yellow"/>
              </w:rPr>
              <w:t>Insert organisation Title</w:t>
            </w:r>
          </w:p>
        </w:tc>
      </w:tr>
      <w:tr w:rsidR="009D7241" w14:paraId="319FA8E2" w14:textId="77777777">
        <w:trPr>
          <w:trHeight w:val="313"/>
        </w:trPr>
        <w:tc>
          <w:tcPr>
            <w:tcW w:w="5490" w:type="dxa"/>
            <w:gridSpan w:val="2"/>
            <w:tcBorders>
              <w:bottom w:val="single" w:sz="4" w:space="0" w:color="000000"/>
              <w:right w:val="single" w:sz="4" w:space="0" w:color="000000"/>
            </w:tcBorders>
          </w:tcPr>
          <w:p w14:paraId="577A2B14" w14:textId="77777777" w:rsidR="009D7241" w:rsidRDefault="004B03F2">
            <w:pPr>
              <w:pStyle w:val="TableParagraph"/>
              <w:spacing w:before="23"/>
              <w:ind w:left="963" w:right="979"/>
              <w:jc w:val="center"/>
              <w:rPr>
                <w:b/>
              </w:rPr>
            </w:pPr>
            <w:r>
              <w:rPr>
                <w:b/>
              </w:rPr>
              <w:t>Site</w:t>
            </w:r>
          </w:p>
        </w:tc>
        <w:tc>
          <w:tcPr>
            <w:tcW w:w="1126" w:type="dxa"/>
            <w:tcBorders>
              <w:left w:val="single" w:sz="4" w:space="0" w:color="000000"/>
              <w:bottom w:val="single" w:sz="4" w:space="0" w:color="000000"/>
              <w:right w:val="single" w:sz="8" w:space="0" w:color="000000"/>
            </w:tcBorders>
          </w:tcPr>
          <w:p w14:paraId="04D376E9" w14:textId="77777777" w:rsidR="009D7241" w:rsidRDefault="004B03F2">
            <w:pPr>
              <w:pStyle w:val="TableParagraph"/>
              <w:spacing w:before="23"/>
              <w:ind w:left="82"/>
              <w:rPr>
                <w:b/>
              </w:rPr>
            </w:pPr>
            <w:r>
              <w:rPr>
                <w:b/>
              </w:rPr>
              <w:t>Version</w:t>
            </w:r>
          </w:p>
        </w:tc>
        <w:tc>
          <w:tcPr>
            <w:tcW w:w="1699" w:type="dxa"/>
            <w:tcBorders>
              <w:left w:val="single" w:sz="8" w:space="0" w:color="000000"/>
              <w:bottom w:val="single" w:sz="4" w:space="0" w:color="000000"/>
              <w:right w:val="single" w:sz="4" w:space="0" w:color="000000"/>
            </w:tcBorders>
          </w:tcPr>
          <w:p w14:paraId="3F85778D" w14:textId="77777777" w:rsidR="009D7241" w:rsidRDefault="004B03F2">
            <w:pPr>
              <w:pStyle w:val="TableParagraph"/>
              <w:spacing w:before="23"/>
              <w:ind w:left="220" w:right="78"/>
              <w:jc w:val="center"/>
              <w:rPr>
                <w:b/>
              </w:rPr>
            </w:pPr>
            <w:r>
              <w:rPr>
                <w:b/>
              </w:rPr>
              <w:t>Date Ratified</w:t>
            </w:r>
          </w:p>
        </w:tc>
        <w:tc>
          <w:tcPr>
            <w:tcW w:w="1650" w:type="dxa"/>
            <w:tcBorders>
              <w:left w:val="single" w:sz="4" w:space="0" w:color="000000"/>
              <w:bottom w:val="single" w:sz="4" w:space="0" w:color="000000"/>
            </w:tcBorders>
          </w:tcPr>
          <w:p w14:paraId="7E482AD2" w14:textId="77777777" w:rsidR="009D7241" w:rsidRDefault="004B03F2">
            <w:pPr>
              <w:pStyle w:val="TableParagraph"/>
              <w:spacing w:before="23"/>
              <w:ind w:left="93" w:right="207"/>
              <w:jc w:val="center"/>
              <w:rPr>
                <w:b/>
              </w:rPr>
            </w:pPr>
            <w:r>
              <w:rPr>
                <w:b/>
              </w:rPr>
              <w:t>Review Date</w:t>
            </w:r>
          </w:p>
        </w:tc>
      </w:tr>
      <w:tr w:rsidR="009D7241" w14:paraId="64F4B8A3" w14:textId="77777777">
        <w:trPr>
          <w:trHeight w:val="599"/>
        </w:trPr>
        <w:tc>
          <w:tcPr>
            <w:tcW w:w="5490" w:type="dxa"/>
            <w:gridSpan w:val="2"/>
            <w:tcBorders>
              <w:top w:val="single" w:sz="4" w:space="0" w:color="000000"/>
              <w:right w:val="single" w:sz="4" w:space="0" w:color="000000"/>
            </w:tcBorders>
          </w:tcPr>
          <w:p w14:paraId="551EC3D6" w14:textId="3F538014" w:rsidR="009D7241" w:rsidRDefault="009D7241">
            <w:pPr>
              <w:pStyle w:val="TableParagraph"/>
              <w:spacing w:before="16"/>
              <w:ind w:left="479"/>
              <w:rPr>
                <w:b/>
              </w:rPr>
            </w:pPr>
          </w:p>
        </w:tc>
        <w:tc>
          <w:tcPr>
            <w:tcW w:w="1126" w:type="dxa"/>
            <w:tcBorders>
              <w:top w:val="single" w:sz="4" w:space="0" w:color="000000"/>
              <w:left w:val="single" w:sz="4" w:space="0" w:color="000000"/>
              <w:right w:val="single" w:sz="8" w:space="0" w:color="000000"/>
            </w:tcBorders>
          </w:tcPr>
          <w:p w14:paraId="184BCB80" w14:textId="1A72C099" w:rsidR="009D7241" w:rsidRDefault="009D7241">
            <w:pPr>
              <w:pStyle w:val="TableParagraph"/>
              <w:spacing w:before="7"/>
              <w:ind w:left="381" w:right="383"/>
              <w:jc w:val="center"/>
              <w:rPr>
                <w:b/>
              </w:rPr>
            </w:pPr>
          </w:p>
        </w:tc>
        <w:tc>
          <w:tcPr>
            <w:tcW w:w="1699" w:type="dxa"/>
            <w:tcBorders>
              <w:top w:val="single" w:sz="4" w:space="0" w:color="000000"/>
              <w:left w:val="single" w:sz="8" w:space="0" w:color="000000"/>
              <w:right w:val="single" w:sz="4" w:space="0" w:color="000000"/>
            </w:tcBorders>
          </w:tcPr>
          <w:p w14:paraId="2ECAB06A" w14:textId="7AE0BAFF" w:rsidR="009D7241" w:rsidRDefault="009D7241">
            <w:pPr>
              <w:pStyle w:val="TableParagraph"/>
              <w:spacing w:before="7"/>
              <w:ind w:left="78" w:right="78"/>
              <w:jc w:val="center"/>
              <w:rPr>
                <w:b/>
              </w:rPr>
            </w:pPr>
          </w:p>
        </w:tc>
        <w:tc>
          <w:tcPr>
            <w:tcW w:w="1650" w:type="dxa"/>
            <w:tcBorders>
              <w:top w:val="single" w:sz="4" w:space="0" w:color="000000"/>
              <w:left w:val="single" w:sz="4" w:space="0" w:color="000000"/>
            </w:tcBorders>
          </w:tcPr>
          <w:p w14:paraId="30DE8DDA" w14:textId="2C05F04E" w:rsidR="009D7241" w:rsidRDefault="009D7241">
            <w:pPr>
              <w:pStyle w:val="TableParagraph"/>
              <w:spacing w:before="16"/>
              <w:ind w:left="93" w:right="85"/>
              <w:jc w:val="center"/>
              <w:rPr>
                <w:b/>
              </w:rPr>
            </w:pPr>
          </w:p>
        </w:tc>
      </w:tr>
      <w:tr w:rsidR="009D7241" w14:paraId="44FC807A" w14:textId="77777777">
        <w:trPr>
          <w:trHeight w:val="717"/>
        </w:trPr>
        <w:tc>
          <w:tcPr>
            <w:tcW w:w="2782" w:type="dxa"/>
            <w:tcBorders>
              <w:bottom w:val="single" w:sz="4" w:space="0" w:color="000000"/>
            </w:tcBorders>
          </w:tcPr>
          <w:p w14:paraId="1B5C3A41" w14:textId="48D67CBD" w:rsidR="009D7241" w:rsidRDefault="004B03F2">
            <w:pPr>
              <w:pStyle w:val="TableParagraph"/>
              <w:spacing w:before="218"/>
              <w:ind w:left="107"/>
              <w:rPr>
                <w:b/>
                <w:sz w:val="24"/>
              </w:rPr>
            </w:pPr>
            <w:r>
              <w:rPr>
                <w:b/>
                <w:sz w:val="24"/>
              </w:rPr>
              <w:t>Document number</w:t>
            </w:r>
          </w:p>
        </w:tc>
        <w:tc>
          <w:tcPr>
            <w:tcW w:w="7183" w:type="dxa"/>
            <w:gridSpan w:val="4"/>
            <w:tcBorders>
              <w:bottom w:val="single" w:sz="4" w:space="0" w:color="000000"/>
            </w:tcBorders>
          </w:tcPr>
          <w:p w14:paraId="3C339ED0" w14:textId="77777777" w:rsidR="009D7241" w:rsidRDefault="009D7241">
            <w:pPr>
              <w:pStyle w:val="TableParagraph"/>
              <w:spacing w:before="6"/>
              <w:ind w:left="0"/>
              <w:rPr>
                <w:rFonts w:ascii="Times New Roman"/>
                <w:sz w:val="19"/>
              </w:rPr>
            </w:pPr>
          </w:p>
          <w:p w14:paraId="23606B2E" w14:textId="77777777" w:rsidR="009D7241" w:rsidRDefault="004B03F2">
            <w:pPr>
              <w:pStyle w:val="TableParagraph"/>
              <w:spacing w:before="1"/>
              <w:ind w:left="109"/>
              <w:rPr>
                <w:b/>
              </w:rPr>
            </w:pPr>
            <w:r>
              <w:rPr>
                <w:b/>
              </w:rPr>
              <w:t>Therapeutic Substitution by Clinical Pharmacists</w:t>
            </w:r>
          </w:p>
        </w:tc>
      </w:tr>
      <w:tr w:rsidR="009D7241" w14:paraId="01BFE8AF" w14:textId="77777777">
        <w:trPr>
          <w:trHeight w:val="309"/>
        </w:trPr>
        <w:tc>
          <w:tcPr>
            <w:tcW w:w="2782" w:type="dxa"/>
            <w:tcBorders>
              <w:top w:val="single" w:sz="4" w:space="0" w:color="000000"/>
            </w:tcBorders>
          </w:tcPr>
          <w:p w14:paraId="25D9AE13" w14:textId="77777777" w:rsidR="009D7241" w:rsidRDefault="004B03F2">
            <w:pPr>
              <w:pStyle w:val="TableParagraph"/>
              <w:spacing w:before="10"/>
              <w:ind w:left="107"/>
              <w:rPr>
                <w:b/>
                <w:sz w:val="24"/>
              </w:rPr>
            </w:pPr>
            <w:r>
              <w:rPr>
                <w:b/>
                <w:sz w:val="24"/>
              </w:rPr>
              <w:t>Replacing</w:t>
            </w:r>
          </w:p>
        </w:tc>
        <w:tc>
          <w:tcPr>
            <w:tcW w:w="7183" w:type="dxa"/>
            <w:gridSpan w:val="4"/>
            <w:tcBorders>
              <w:top w:val="single" w:sz="4" w:space="0" w:color="000000"/>
            </w:tcBorders>
          </w:tcPr>
          <w:p w14:paraId="2AF7DC01" w14:textId="677C3E44" w:rsidR="009D7241" w:rsidRDefault="009D7241">
            <w:pPr>
              <w:pStyle w:val="TableParagraph"/>
              <w:spacing w:before="10"/>
              <w:ind w:left="109"/>
              <w:rPr>
                <w:sz w:val="24"/>
              </w:rPr>
            </w:pPr>
          </w:p>
        </w:tc>
      </w:tr>
      <w:tr w:rsidR="009D7241" w14:paraId="208284FA" w14:textId="77777777">
        <w:trPr>
          <w:trHeight w:val="246"/>
        </w:trPr>
        <w:tc>
          <w:tcPr>
            <w:tcW w:w="2782" w:type="dxa"/>
            <w:vMerge w:val="restart"/>
          </w:tcPr>
          <w:p w14:paraId="3A4E3EA4" w14:textId="77777777" w:rsidR="009D7241" w:rsidRDefault="009D7241">
            <w:pPr>
              <w:pStyle w:val="TableParagraph"/>
              <w:spacing w:before="2"/>
              <w:ind w:left="0"/>
              <w:rPr>
                <w:rFonts w:ascii="Times New Roman"/>
                <w:sz w:val="24"/>
              </w:rPr>
            </w:pPr>
          </w:p>
          <w:p w14:paraId="66C5F4D7" w14:textId="77777777" w:rsidR="009D7241" w:rsidRDefault="004B03F2">
            <w:pPr>
              <w:pStyle w:val="TableParagraph"/>
              <w:ind w:left="107"/>
              <w:rPr>
                <w:b/>
              </w:rPr>
            </w:pPr>
            <w:r>
              <w:rPr>
                <w:b/>
              </w:rPr>
              <w:t>Author:</w:t>
            </w:r>
          </w:p>
        </w:tc>
        <w:tc>
          <w:tcPr>
            <w:tcW w:w="2708" w:type="dxa"/>
            <w:tcBorders>
              <w:bottom w:val="single" w:sz="4" w:space="0" w:color="000000"/>
            </w:tcBorders>
          </w:tcPr>
          <w:p w14:paraId="534ED616" w14:textId="77777777" w:rsidR="009D7241" w:rsidRDefault="004B03F2">
            <w:pPr>
              <w:pStyle w:val="TableParagraph"/>
              <w:spacing w:line="227" w:lineRule="exact"/>
              <w:ind w:left="109"/>
              <w:rPr>
                <w:b/>
              </w:rPr>
            </w:pPr>
            <w:r>
              <w:rPr>
                <w:b/>
              </w:rPr>
              <w:t>Name</w:t>
            </w:r>
          </w:p>
        </w:tc>
        <w:tc>
          <w:tcPr>
            <w:tcW w:w="4475" w:type="dxa"/>
            <w:gridSpan w:val="3"/>
            <w:tcBorders>
              <w:bottom w:val="single" w:sz="4" w:space="0" w:color="000000"/>
            </w:tcBorders>
          </w:tcPr>
          <w:p w14:paraId="1277FF1C" w14:textId="77777777" w:rsidR="009D7241" w:rsidRDefault="004B03F2">
            <w:pPr>
              <w:pStyle w:val="TableParagraph"/>
              <w:spacing w:line="227" w:lineRule="exact"/>
              <w:ind w:left="132"/>
              <w:rPr>
                <w:b/>
              </w:rPr>
            </w:pPr>
            <w:r>
              <w:rPr>
                <w:b/>
              </w:rPr>
              <w:t>Job Title</w:t>
            </w:r>
          </w:p>
        </w:tc>
      </w:tr>
      <w:tr w:rsidR="009D7241" w14:paraId="62D76F23" w14:textId="77777777">
        <w:trPr>
          <w:trHeight w:val="280"/>
        </w:trPr>
        <w:tc>
          <w:tcPr>
            <w:tcW w:w="2782" w:type="dxa"/>
            <w:vMerge/>
            <w:tcBorders>
              <w:top w:val="nil"/>
            </w:tcBorders>
          </w:tcPr>
          <w:p w14:paraId="4A344050" w14:textId="77777777" w:rsidR="009D7241" w:rsidRDefault="009D7241">
            <w:pPr>
              <w:rPr>
                <w:sz w:val="2"/>
                <w:szCs w:val="2"/>
              </w:rPr>
            </w:pPr>
          </w:p>
        </w:tc>
        <w:tc>
          <w:tcPr>
            <w:tcW w:w="2708" w:type="dxa"/>
            <w:tcBorders>
              <w:top w:val="single" w:sz="4" w:space="0" w:color="000000"/>
            </w:tcBorders>
          </w:tcPr>
          <w:p w14:paraId="51942091" w14:textId="246DAE37" w:rsidR="009D7241" w:rsidRDefault="009D7241">
            <w:pPr>
              <w:pStyle w:val="TableParagraph"/>
              <w:spacing w:before="2" w:line="258" w:lineRule="exact"/>
              <w:ind w:left="109"/>
              <w:rPr>
                <w:sz w:val="24"/>
              </w:rPr>
            </w:pPr>
          </w:p>
        </w:tc>
        <w:tc>
          <w:tcPr>
            <w:tcW w:w="4475" w:type="dxa"/>
            <w:gridSpan w:val="3"/>
            <w:tcBorders>
              <w:top w:val="single" w:sz="4" w:space="0" w:color="000000"/>
            </w:tcBorders>
          </w:tcPr>
          <w:p w14:paraId="3AB23CE8" w14:textId="1EC142F5" w:rsidR="009D7241" w:rsidRDefault="009D7241">
            <w:pPr>
              <w:pStyle w:val="TableParagraph"/>
              <w:spacing w:before="2" w:line="258" w:lineRule="exact"/>
              <w:ind w:left="132"/>
              <w:rPr>
                <w:sz w:val="24"/>
              </w:rPr>
            </w:pPr>
          </w:p>
        </w:tc>
      </w:tr>
      <w:tr w:rsidR="009D7241" w14:paraId="755CC8BA" w14:textId="77777777">
        <w:trPr>
          <w:trHeight w:val="275"/>
        </w:trPr>
        <w:tc>
          <w:tcPr>
            <w:tcW w:w="2782" w:type="dxa"/>
            <w:vMerge/>
            <w:tcBorders>
              <w:top w:val="nil"/>
            </w:tcBorders>
          </w:tcPr>
          <w:p w14:paraId="7DCF9044" w14:textId="77777777" w:rsidR="009D7241" w:rsidRDefault="009D7241">
            <w:pPr>
              <w:rPr>
                <w:sz w:val="2"/>
                <w:szCs w:val="2"/>
              </w:rPr>
            </w:pPr>
          </w:p>
        </w:tc>
        <w:tc>
          <w:tcPr>
            <w:tcW w:w="2708" w:type="dxa"/>
          </w:tcPr>
          <w:p w14:paraId="1EDE78E4" w14:textId="77777777" w:rsidR="009D7241" w:rsidRDefault="009D7241">
            <w:pPr>
              <w:pStyle w:val="TableParagraph"/>
              <w:ind w:left="0"/>
              <w:rPr>
                <w:rFonts w:ascii="Times New Roman"/>
                <w:sz w:val="20"/>
              </w:rPr>
            </w:pPr>
          </w:p>
        </w:tc>
        <w:tc>
          <w:tcPr>
            <w:tcW w:w="4475" w:type="dxa"/>
            <w:gridSpan w:val="3"/>
          </w:tcPr>
          <w:p w14:paraId="57D083CA" w14:textId="77777777" w:rsidR="009D7241" w:rsidRDefault="009D7241">
            <w:pPr>
              <w:pStyle w:val="TableParagraph"/>
              <w:ind w:left="0"/>
              <w:rPr>
                <w:rFonts w:ascii="Times New Roman"/>
                <w:sz w:val="20"/>
              </w:rPr>
            </w:pPr>
          </w:p>
        </w:tc>
      </w:tr>
      <w:tr w:rsidR="009D7241" w14:paraId="4D6C3844" w14:textId="77777777">
        <w:trPr>
          <w:trHeight w:val="253"/>
        </w:trPr>
        <w:tc>
          <w:tcPr>
            <w:tcW w:w="2782" w:type="dxa"/>
          </w:tcPr>
          <w:p w14:paraId="038D7A70" w14:textId="77777777" w:rsidR="009D7241" w:rsidRDefault="004B03F2">
            <w:pPr>
              <w:pStyle w:val="TableParagraph"/>
              <w:spacing w:line="234" w:lineRule="exact"/>
              <w:ind w:left="107"/>
              <w:rPr>
                <w:b/>
              </w:rPr>
            </w:pPr>
            <w:r>
              <w:rPr>
                <w:b/>
              </w:rPr>
              <w:t>Responsible Manager:</w:t>
            </w:r>
          </w:p>
        </w:tc>
        <w:tc>
          <w:tcPr>
            <w:tcW w:w="2708" w:type="dxa"/>
          </w:tcPr>
          <w:p w14:paraId="659EDFB2" w14:textId="65DAB69C" w:rsidR="009D7241" w:rsidRDefault="009D7241">
            <w:pPr>
              <w:pStyle w:val="TableParagraph"/>
              <w:spacing w:line="234" w:lineRule="exact"/>
              <w:ind w:left="109"/>
            </w:pPr>
          </w:p>
        </w:tc>
        <w:tc>
          <w:tcPr>
            <w:tcW w:w="4475" w:type="dxa"/>
            <w:gridSpan w:val="3"/>
          </w:tcPr>
          <w:p w14:paraId="1AF894AC" w14:textId="773275B6" w:rsidR="009D7241" w:rsidRDefault="009D7241">
            <w:pPr>
              <w:pStyle w:val="TableParagraph"/>
              <w:spacing w:line="234" w:lineRule="exact"/>
              <w:ind w:left="132"/>
            </w:pPr>
          </w:p>
        </w:tc>
      </w:tr>
      <w:tr w:rsidR="009D7241" w14:paraId="08CCD200" w14:textId="77777777">
        <w:trPr>
          <w:trHeight w:val="508"/>
        </w:trPr>
        <w:tc>
          <w:tcPr>
            <w:tcW w:w="2782" w:type="dxa"/>
          </w:tcPr>
          <w:p w14:paraId="4BB761DE" w14:textId="77777777" w:rsidR="009D7241" w:rsidRDefault="004B03F2">
            <w:pPr>
              <w:pStyle w:val="TableParagraph"/>
              <w:spacing w:line="248" w:lineRule="exact"/>
              <w:ind w:left="107"/>
              <w:rPr>
                <w:b/>
              </w:rPr>
            </w:pPr>
            <w:r>
              <w:rPr>
                <w:b/>
              </w:rPr>
              <w:t>Ratified by:</w:t>
            </w:r>
          </w:p>
        </w:tc>
        <w:tc>
          <w:tcPr>
            <w:tcW w:w="7183" w:type="dxa"/>
            <w:gridSpan w:val="4"/>
          </w:tcPr>
          <w:p w14:paraId="55326155" w14:textId="129C634E" w:rsidR="009D7241" w:rsidRDefault="009D7241">
            <w:pPr>
              <w:pStyle w:val="TableParagraph"/>
              <w:spacing w:before="3" w:line="250" w:lineRule="exact"/>
              <w:ind w:left="136" w:right="1147" w:hanging="27"/>
            </w:pPr>
          </w:p>
        </w:tc>
      </w:tr>
    </w:tbl>
    <w:p w14:paraId="34A0EE7E" w14:textId="68916FBD" w:rsidR="009D7241" w:rsidRDefault="009D7241">
      <w:pPr>
        <w:pStyle w:val="BodyText"/>
        <w:spacing w:before="4"/>
        <w:rPr>
          <w:rFonts w:ascii="Times New Roman"/>
          <w:sz w:val="11"/>
        </w:rPr>
      </w:pPr>
    </w:p>
    <w:p w14:paraId="1CEA1CDC" w14:textId="77777777" w:rsidR="009D7241" w:rsidRDefault="004B03F2">
      <w:pPr>
        <w:pStyle w:val="Heading1"/>
        <w:numPr>
          <w:ilvl w:val="0"/>
          <w:numId w:val="1"/>
        </w:numPr>
        <w:tabs>
          <w:tab w:val="left" w:pos="1017"/>
        </w:tabs>
        <w:spacing w:before="92"/>
        <w:jc w:val="both"/>
      </w:pPr>
      <w:r>
        <w:t>Introduction</w:t>
      </w:r>
    </w:p>
    <w:p w14:paraId="5C61E987" w14:textId="2CC52E59" w:rsidR="009D7241" w:rsidRDefault="004B03F2">
      <w:pPr>
        <w:pStyle w:val="BodyText"/>
        <w:spacing w:before="40"/>
        <w:ind w:left="450" w:right="112"/>
        <w:jc w:val="both"/>
      </w:pPr>
      <w:r>
        <w:t>There is a mandatory requirement on the Trust to publish a medicines formulary which prompts evidence</w:t>
      </w:r>
      <w:r>
        <w:rPr>
          <w:spacing w:val="-9"/>
        </w:rPr>
        <w:t xml:space="preserve"> </w:t>
      </w:r>
      <w:r>
        <w:t>based</w:t>
      </w:r>
      <w:r>
        <w:rPr>
          <w:spacing w:val="-7"/>
        </w:rPr>
        <w:t xml:space="preserve"> </w:t>
      </w:r>
      <w:r>
        <w:t>best</w:t>
      </w:r>
      <w:r>
        <w:rPr>
          <w:spacing w:val="-9"/>
        </w:rPr>
        <w:t xml:space="preserve"> </w:t>
      </w:r>
      <w:r>
        <w:t>practice</w:t>
      </w:r>
      <w:r>
        <w:rPr>
          <w:spacing w:val="-7"/>
        </w:rPr>
        <w:t xml:space="preserve"> </w:t>
      </w:r>
      <w:r>
        <w:t>in</w:t>
      </w:r>
      <w:r>
        <w:rPr>
          <w:spacing w:val="-9"/>
        </w:rPr>
        <w:t xml:space="preserve"> </w:t>
      </w:r>
      <w:r>
        <w:t>the</w:t>
      </w:r>
      <w:r>
        <w:rPr>
          <w:spacing w:val="-6"/>
        </w:rPr>
        <w:t xml:space="preserve"> </w:t>
      </w:r>
      <w:r>
        <w:t>choice</w:t>
      </w:r>
      <w:r>
        <w:rPr>
          <w:spacing w:val="-9"/>
        </w:rPr>
        <w:t xml:space="preserve"> </w:t>
      </w:r>
      <w:r>
        <w:t>and</w:t>
      </w:r>
      <w:r>
        <w:rPr>
          <w:spacing w:val="-7"/>
        </w:rPr>
        <w:t xml:space="preserve"> </w:t>
      </w:r>
      <w:r>
        <w:t>use</w:t>
      </w:r>
      <w:r>
        <w:rPr>
          <w:spacing w:val="-6"/>
        </w:rPr>
        <w:t xml:space="preserve"> </w:t>
      </w:r>
      <w:r>
        <w:t>of</w:t>
      </w:r>
      <w:r>
        <w:rPr>
          <w:spacing w:val="-10"/>
        </w:rPr>
        <w:t xml:space="preserve"> </w:t>
      </w:r>
      <w:r>
        <w:t>medicines.</w:t>
      </w:r>
      <w:r>
        <w:rPr>
          <w:spacing w:val="-10"/>
        </w:rPr>
        <w:t xml:space="preserve"> </w:t>
      </w:r>
      <w:r>
        <w:t>The</w:t>
      </w:r>
      <w:r>
        <w:rPr>
          <w:spacing w:val="-6"/>
        </w:rPr>
        <w:t xml:space="preserve"> </w:t>
      </w:r>
      <w:r w:rsidRPr="004B03F2">
        <w:rPr>
          <w:highlight w:val="yellow"/>
        </w:rPr>
        <w:t>Insert Trust name</w:t>
      </w:r>
      <w:r>
        <w:rPr>
          <w:spacing w:val="-15"/>
        </w:rPr>
        <w:t xml:space="preserve"> </w:t>
      </w:r>
      <w:r>
        <w:t>medicines</w:t>
      </w:r>
      <w:r>
        <w:rPr>
          <w:spacing w:val="-14"/>
        </w:rPr>
        <w:t xml:space="preserve"> </w:t>
      </w:r>
      <w:r>
        <w:t>formulary</w:t>
      </w:r>
      <w:r>
        <w:rPr>
          <w:spacing w:val="-14"/>
        </w:rPr>
        <w:t xml:space="preserve"> </w:t>
      </w:r>
      <w:r>
        <w:t>is</w:t>
      </w:r>
      <w:r>
        <w:rPr>
          <w:spacing w:val="-12"/>
        </w:rPr>
        <w:t xml:space="preserve"> </w:t>
      </w:r>
      <w:r>
        <w:t>amended</w:t>
      </w:r>
      <w:r>
        <w:rPr>
          <w:spacing w:val="-13"/>
        </w:rPr>
        <w:t xml:space="preserve"> </w:t>
      </w:r>
      <w:r>
        <w:t>‘ad</w:t>
      </w:r>
      <w:r>
        <w:rPr>
          <w:spacing w:val="-13"/>
        </w:rPr>
        <w:t xml:space="preserve"> </w:t>
      </w:r>
      <w:r>
        <w:t>hoc’</w:t>
      </w:r>
      <w:r>
        <w:rPr>
          <w:spacing w:val="-12"/>
        </w:rPr>
        <w:t xml:space="preserve"> </w:t>
      </w:r>
      <w:r>
        <w:t>when</w:t>
      </w:r>
      <w:r>
        <w:rPr>
          <w:spacing w:val="-11"/>
        </w:rPr>
        <w:t xml:space="preserve"> </w:t>
      </w:r>
      <w:r>
        <w:t>a</w:t>
      </w:r>
      <w:r>
        <w:rPr>
          <w:spacing w:val="-13"/>
        </w:rPr>
        <w:t xml:space="preserve"> </w:t>
      </w:r>
      <w:r>
        <w:t>new</w:t>
      </w:r>
      <w:r>
        <w:rPr>
          <w:spacing w:val="-14"/>
        </w:rPr>
        <w:t xml:space="preserve"> </w:t>
      </w:r>
      <w:r>
        <w:t>drug</w:t>
      </w:r>
      <w:r>
        <w:rPr>
          <w:spacing w:val="-13"/>
        </w:rPr>
        <w:t xml:space="preserve"> </w:t>
      </w:r>
      <w:r>
        <w:t>request</w:t>
      </w:r>
      <w:r>
        <w:rPr>
          <w:spacing w:val="-11"/>
        </w:rPr>
        <w:t xml:space="preserve"> </w:t>
      </w:r>
      <w:r>
        <w:t>is</w:t>
      </w:r>
      <w:r>
        <w:rPr>
          <w:spacing w:val="-14"/>
        </w:rPr>
        <w:t xml:space="preserve"> </w:t>
      </w:r>
      <w:r>
        <w:t xml:space="preserve">made within the Trust or within the </w:t>
      </w:r>
      <w:proofErr w:type="gramStart"/>
      <w:r>
        <w:t>locality, and</w:t>
      </w:r>
      <w:proofErr w:type="gramEnd"/>
      <w:r>
        <w:t xml:space="preserve"> is successful. Often that change will involve a drug used in both primary and secondary care, and therefore will follow a decision taken by the Area Prescribing Committee which covers both</w:t>
      </w:r>
      <w:r>
        <w:rPr>
          <w:spacing w:val="-16"/>
        </w:rPr>
        <w:t xml:space="preserve"> </w:t>
      </w:r>
      <w:r>
        <w:t>sectors.</w:t>
      </w:r>
    </w:p>
    <w:p w14:paraId="3348D66E" w14:textId="77777777" w:rsidR="009D7241" w:rsidRDefault="009D7241">
      <w:pPr>
        <w:pStyle w:val="BodyText"/>
        <w:spacing w:before="9"/>
        <w:rPr>
          <w:sz w:val="23"/>
        </w:rPr>
      </w:pPr>
    </w:p>
    <w:p w14:paraId="0C571381" w14:textId="461E67F7" w:rsidR="009D7241" w:rsidRDefault="004B03F2">
      <w:pPr>
        <w:pStyle w:val="BodyText"/>
        <w:ind w:left="450" w:right="109"/>
        <w:jc w:val="both"/>
      </w:pPr>
      <w:r>
        <w:t xml:space="preserve">Prescribers at the point of choosing which medicine to prescribe may fail to recall these policy decisions. Pharmacists may therefore be required to amend prescribed medication, to facilitate compliance with the agreed </w:t>
      </w:r>
      <w:r w:rsidRPr="00EC1982">
        <w:rPr>
          <w:highlight w:val="yellow"/>
        </w:rPr>
        <w:t>Insert trust name</w:t>
      </w:r>
      <w:r>
        <w:t xml:space="preserve"> Formulary. Most often a prescription for one member of a therapeutic family of drugs will be amended to another member of the same family. Less often a prescription for one dosage form of a drug will be amended to another dosage form (perhaps with different drug release characteristics) of the same drug. These changes will not be clinically significant and are not intended to alter the prescriber’s general intentions. Changes should either clarify the prescription for the person responsible for administering the </w:t>
      </w:r>
      <w:proofErr w:type="gramStart"/>
      <w:r>
        <w:t>medication, or</w:t>
      </w:r>
      <w:proofErr w:type="gramEnd"/>
      <w:r>
        <w:t xml:space="preserve"> improve formulary compliance. They will also prevent missed doses (when a drug has been prescribed which is not the formulary choice, and therefore not purchased or stocked), and ensure that the patient receives maximum benefit from the medication as early as possible after its prescribing.</w:t>
      </w:r>
    </w:p>
    <w:p w14:paraId="0393F1AA" w14:textId="77777777" w:rsidR="009D7241" w:rsidRDefault="009D7241">
      <w:pPr>
        <w:pStyle w:val="BodyText"/>
        <w:spacing w:before="9"/>
        <w:rPr>
          <w:sz w:val="23"/>
        </w:rPr>
      </w:pPr>
    </w:p>
    <w:p w14:paraId="5DAACA44" w14:textId="77777777" w:rsidR="009D7241" w:rsidRDefault="004B03F2">
      <w:pPr>
        <w:pStyle w:val="BodyText"/>
        <w:ind w:left="450" w:right="115"/>
        <w:jc w:val="both"/>
      </w:pPr>
      <w:r>
        <w:t>Interrupting prescribers to ask for these changes to be made is often not convenient, can be disruptive</w:t>
      </w:r>
      <w:r>
        <w:rPr>
          <w:spacing w:val="-16"/>
        </w:rPr>
        <w:t xml:space="preserve"> </w:t>
      </w:r>
      <w:r>
        <w:t>to</w:t>
      </w:r>
      <w:r>
        <w:rPr>
          <w:spacing w:val="-15"/>
        </w:rPr>
        <w:t xml:space="preserve"> </w:t>
      </w:r>
      <w:r>
        <w:t>their</w:t>
      </w:r>
      <w:r>
        <w:rPr>
          <w:spacing w:val="-18"/>
        </w:rPr>
        <w:t xml:space="preserve"> </w:t>
      </w:r>
      <w:r>
        <w:t>work,</w:t>
      </w:r>
      <w:r>
        <w:rPr>
          <w:spacing w:val="-16"/>
        </w:rPr>
        <w:t xml:space="preserve"> </w:t>
      </w:r>
      <w:r>
        <w:t>and</w:t>
      </w:r>
      <w:r>
        <w:rPr>
          <w:spacing w:val="-16"/>
        </w:rPr>
        <w:t xml:space="preserve"> </w:t>
      </w:r>
      <w:r>
        <w:t>if</w:t>
      </w:r>
      <w:r>
        <w:rPr>
          <w:spacing w:val="-13"/>
        </w:rPr>
        <w:t xml:space="preserve"> </w:t>
      </w:r>
      <w:r>
        <w:t>not</w:t>
      </w:r>
      <w:r>
        <w:rPr>
          <w:spacing w:val="-17"/>
        </w:rPr>
        <w:t xml:space="preserve"> </w:t>
      </w:r>
      <w:r>
        <w:t>able</w:t>
      </w:r>
      <w:r>
        <w:rPr>
          <w:spacing w:val="-15"/>
        </w:rPr>
        <w:t xml:space="preserve"> </w:t>
      </w:r>
      <w:r>
        <w:t>to</w:t>
      </w:r>
      <w:r>
        <w:rPr>
          <w:spacing w:val="-19"/>
        </w:rPr>
        <w:t xml:space="preserve"> </w:t>
      </w:r>
      <w:r>
        <w:t>be</w:t>
      </w:r>
      <w:r>
        <w:rPr>
          <w:spacing w:val="-15"/>
        </w:rPr>
        <w:t xml:space="preserve"> </w:t>
      </w:r>
      <w:r>
        <w:t>actioned</w:t>
      </w:r>
      <w:r>
        <w:rPr>
          <w:spacing w:val="-16"/>
        </w:rPr>
        <w:t xml:space="preserve"> </w:t>
      </w:r>
      <w:r>
        <w:t>immediately</w:t>
      </w:r>
      <w:r>
        <w:rPr>
          <w:spacing w:val="-19"/>
        </w:rPr>
        <w:t xml:space="preserve"> </w:t>
      </w:r>
      <w:r>
        <w:t>may</w:t>
      </w:r>
      <w:r>
        <w:rPr>
          <w:spacing w:val="-19"/>
        </w:rPr>
        <w:t xml:space="preserve"> </w:t>
      </w:r>
      <w:r>
        <w:t>leave</w:t>
      </w:r>
      <w:r>
        <w:rPr>
          <w:spacing w:val="-16"/>
        </w:rPr>
        <w:t xml:space="preserve"> </w:t>
      </w:r>
      <w:r>
        <w:t>the</w:t>
      </w:r>
      <w:r>
        <w:rPr>
          <w:spacing w:val="-15"/>
        </w:rPr>
        <w:t xml:space="preserve"> </w:t>
      </w:r>
      <w:r>
        <w:t>person</w:t>
      </w:r>
      <w:r>
        <w:rPr>
          <w:spacing w:val="-16"/>
        </w:rPr>
        <w:t xml:space="preserve"> </w:t>
      </w:r>
      <w:r>
        <w:t>responsible for administering the medication unable to give the medication, leaving the patient without its benefit.</w:t>
      </w:r>
    </w:p>
    <w:p w14:paraId="7C1E85CA" w14:textId="77777777" w:rsidR="009D7241" w:rsidRDefault="009D7241">
      <w:pPr>
        <w:pStyle w:val="BodyText"/>
        <w:spacing w:before="9"/>
        <w:rPr>
          <w:sz w:val="23"/>
        </w:rPr>
      </w:pPr>
    </w:p>
    <w:p w14:paraId="39FF9696" w14:textId="77777777" w:rsidR="009D7241" w:rsidRDefault="004B03F2">
      <w:pPr>
        <w:pStyle w:val="BodyText"/>
        <w:spacing w:before="1"/>
        <w:ind w:left="450" w:right="115"/>
        <w:jc w:val="both"/>
      </w:pPr>
      <w:r>
        <w:t>The Medicines Act (1968) does not consider the issue of non-prescribing pharmacists who are called upon to amend prescriptions, and so a documented procedure is required to cover this activity locally with the Trust.</w:t>
      </w:r>
    </w:p>
    <w:p w14:paraId="1D40CA3E" w14:textId="77777777" w:rsidR="009D7241" w:rsidRDefault="009D7241">
      <w:pPr>
        <w:pStyle w:val="BodyText"/>
        <w:rPr>
          <w:sz w:val="28"/>
        </w:rPr>
      </w:pPr>
    </w:p>
    <w:p w14:paraId="599B6684" w14:textId="77777777" w:rsidR="009D7241" w:rsidRDefault="004B03F2">
      <w:pPr>
        <w:pStyle w:val="Heading1"/>
        <w:numPr>
          <w:ilvl w:val="0"/>
          <w:numId w:val="1"/>
        </w:numPr>
        <w:tabs>
          <w:tab w:val="left" w:pos="1017"/>
        </w:tabs>
        <w:jc w:val="both"/>
      </w:pPr>
      <w:r>
        <w:t>Purpose/Objective</w:t>
      </w:r>
    </w:p>
    <w:p w14:paraId="39B8C66C" w14:textId="77777777" w:rsidR="009D7241" w:rsidRDefault="004B03F2">
      <w:pPr>
        <w:pStyle w:val="BodyText"/>
        <w:spacing w:before="42"/>
        <w:ind w:left="450" w:right="110"/>
        <w:jc w:val="both"/>
      </w:pPr>
      <w:r>
        <w:t>The document provides both ward and dispensary-based Clinical Pharmacists with a guide to appropriate</w:t>
      </w:r>
      <w:r>
        <w:rPr>
          <w:spacing w:val="-8"/>
        </w:rPr>
        <w:t xml:space="preserve"> </w:t>
      </w:r>
      <w:r>
        <w:t>therapeutic</w:t>
      </w:r>
      <w:r>
        <w:rPr>
          <w:spacing w:val="-8"/>
        </w:rPr>
        <w:t xml:space="preserve"> </w:t>
      </w:r>
      <w:r>
        <w:t>substitution</w:t>
      </w:r>
      <w:r>
        <w:rPr>
          <w:spacing w:val="-9"/>
        </w:rPr>
        <w:t xml:space="preserve"> </w:t>
      </w:r>
      <w:r>
        <w:t>after</w:t>
      </w:r>
      <w:r>
        <w:rPr>
          <w:spacing w:val="-9"/>
        </w:rPr>
        <w:t xml:space="preserve"> </w:t>
      </w:r>
      <w:r>
        <w:t>addition</w:t>
      </w:r>
      <w:r>
        <w:rPr>
          <w:spacing w:val="-7"/>
        </w:rPr>
        <w:t xml:space="preserve"> </w:t>
      </w:r>
      <w:r>
        <w:t>to</w:t>
      </w:r>
      <w:r>
        <w:rPr>
          <w:spacing w:val="-8"/>
        </w:rPr>
        <w:t xml:space="preserve"> </w:t>
      </w:r>
      <w:r>
        <w:t>an</w:t>
      </w:r>
      <w:r>
        <w:rPr>
          <w:spacing w:val="-9"/>
        </w:rPr>
        <w:t xml:space="preserve"> </w:t>
      </w:r>
      <w:r>
        <w:t>approved</w:t>
      </w:r>
      <w:r>
        <w:rPr>
          <w:spacing w:val="-7"/>
        </w:rPr>
        <w:t xml:space="preserve"> </w:t>
      </w:r>
      <w:r>
        <w:t>list</w:t>
      </w:r>
      <w:r>
        <w:rPr>
          <w:spacing w:val="-10"/>
        </w:rPr>
        <w:t xml:space="preserve"> </w:t>
      </w:r>
      <w:r>
        <w:rPr>
          <w:b/>
        </w:rPr>
        <w:t>only</w:t>
      </w:r>
      <w:r>
        <w:t>.</w:t>
      </w:r>
      <w:r>
        <w:rPr>
          <w:spacing w:val="-7"/>
        </w:rPr>
        <w:t xml:space="preserve"> </w:t>
      </w:r>
      <w:r>
        <w:t>Updates</w:t>
      </w:r>
      <w:r>
        <w:rPr>
          <w:spacing w:val="-9"/>
        </w:rPr>
        <w:t xml:space="preserve"> </w:t>
      </w:r>
      <w:r>
        <w:t>to</w:t>
      </w:r>
      <w:r>
        <w:rPr>
          <w:spacing w:val="-9"/>
        </w:rPr>
        <w:t xml:space="preserve"> </w:t>
      </w:r>
      <w:r>
        <w:t>this</w:t>
      </w:r>
      <w:r>
        <w:rPr>
          <w:spacing w:val="-8"/>
        </w:rPr>
        <w:t xml:space="preserve"> </w:t>
      </w:r>
      <w:r>
        <w:t>list</w:t>
      </w:r>
      <w:r>
        <w:rPr>
          <w:spacing w:val="-7"/>
        </w:rPr>
        <w:t xml:space="preserve"> </w:t>
      </w:r>
      <w:r>
        <w:t xml:space="preserve">must be approved by the </w:t>
      </w:r>
      <w:r w:rsidRPr="00FD2A06">
        <w:rPr>
          <w:highlight w:val="yellow"/>
        </w:rPr>
        <w:t>Trust Drugs and Therapeutics Committee (DTC),</w:t>
      </w:r>
      <w:r>
        <w:t xml:space="preserve"> pending the production of this</w:t>
      </w:r>
      <w:r>
        <w:rPr>
          <w:spacing w:val="-18"/>
        </w:rPr>
        <w:t xml:space="preserve"> </w:t>
      </w:r>
      <w:r>
        <w:t>framework.</w:t>
      </w:r>
    </w:p>
    <w:p w14:paraId="00A0E95E" w14:textId="70A40872" w:rsidR="009D7241" w:rsidRDefault="004B03F2">
      <w:pPr>
        <w:pStyle w:val="BodyText"/>
        <w:spacing w:before="4"/>
        <w:rPr>
          <w:sz w:val="23"/>
        </w:rPr>
      </w:pPr>
      <w:r>
        <w:rPr>
          <w:noProof/>
        </w:rPr>
        <mc:AlternateContent>
          <mc:Choice Requires="wps">
            <w:drawing>
              <wp:anchor distT="0" distB="0" distL="0" distR="0" simplePos="0" relativeHeight="251657728" behindDoc="1" locked="0" layoutInCell="1" allowOverlap="1" wp14:anchorId="5F769493" wp14:editId="784E5872">
                <wp:simplePos x="0" y="0"/>
                <wp:positionH relativeFrom="page">
                  <wp:posOffset>701040</wp:posOffset>
                </wp:positionH>
                <wp:positionV relativeFrom="paragraph">
                  <wp:posOffset>198755</wp:posOffset>
                </wp:positionV>
                <wp:extent cx="606806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060" cy="1270"/>
                        </a:xfrm>
                        <a:custGeom>
                          <a:avLst/>
                          <a:gdLst>
                            <a:gd name="T0" fmla="+- 0 1104 1104"/>
                            <a:gd name="T1" fmla="*/ T0 w 9556"/>
                            <a:gd name="T2" fmla="+- 0 10660 1104"/>
                            <a:gd name="T3" fmla="*/ T2 w 9556"/>
                          </a:gdLst>
                          <a:ahLst/>
                          <a:cxnLst>
                            <a:cxn ang="0">
                              <a:pos x="T1" y="0"/>
                            </a:cxn>
                            <a:cxn ang="0">
                              <a:pos x="T3" y="0"/>
                            </a:cxn>
                          </a:cxnLst>
                          <a:rect l="0" t="0" r="r" b="b"/>
                          <a:pathLst>
                            <a:path w="9556">
                              <a:moveTo>
                                <a:pt x="0" y="0"/>
                              </a:moveTo>
                              <a:lnTo>
                                <a:pt x="955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9497F" id="Freeform 2" o:spid="_x0000_s1026" style="position:absolute;margin-left:55.2pt;margin-top:15.65pt;width:477.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" path="m,l9556,e" filled="f" strokeweight=".48pt">
                <v:path arrowok="t" o:connecttype="custom" o:connectlocs="0,0;6068060,0" o:connectangles="0,0"/>
                <w10:wrap type="topAndBottom" anchorx="page"/>
              </v:shape>
            </w:pict>
          </mc:Fallback>
        </mc:AlternateContent>
      </w:r>
    </w:p>
    <w:p w14:paraId="38255D3E" w14:textId="77777777" w:rsidR="009D7241" w:rsidRDefault="004B03F2">
      <w:pPr>
        <w:spacing w:before="148"/>
        <w:ind w:left="4711" w:right="5278"/>
        <w:jc w:val="center"/>
        <w:rPr>
          <w:b/>
          <w:sz w:val="18"/>
        </w:rPr>
      </w:pPr>
      <w:r>
        <w:rPr>
          <w:b/>
          <w:sz w:val="18"/>
        </w:rPr>
        <w:t>Page 1 of 5</w:t>
      </w:r>
    </w:p>
    <w:p w14:paraId="0C76DFCE" w14:textId="0ABF2017" w:rsidR="009D7241" w:rsidRDefault="004B03F2">
      <w:pPr>
        <w:spacing w:before="7"/>
        <w:ind w:right="477"/>
        <w:jc w:val="right"/>
        <w:rPr>
          <w:sz w:val="18"/>
        </w:rPr>
      </w:pPr>
      <w:r>
        <w:rPr>
          <w:sz w:val="18"/>
        </w:rPr>
        <w:lastRenderedPageBreak/>
        <w:t>Therapeutic Substitution by Clinical Pharmacists</w:t>
      </w:r>
      <w:r>
        <w:rPr>
          <w:spacing w:val="-24"/>
          <w:sz w:val="18"/>
        </w:rPr>
        <w:t xml:space="preserve"> </w:t>
      </w:r>
      <w:r>
        <w:rPr>
          <w:sz w:val="18"/>
        </w:rPr>
        <w:t>V</w:t>
      </w:r>
      <w:r w:rsidR="003B0D3A">
        <w:rPr>
          <w:sz w:val="18"/>
        </w:rPr>
        <w:t xml:space="preserve"> </w:t>
      </w:r>
      <w:r w:rsidR="006F0F87" w:rsidRPr="003B0D3A">
        <w:rPr>
          <w:sz w:val="18"/>
          <w:highlight w:val="yellow"/>
        </w:rPr>
        <w:t xml:space="preserve">insert </w:t>
      </w:r>
      <w:proofErr w:type="gramStart"/>
      <w:r w:rsidR="006F0F87" w:rsidRPr="003B0D3A">
        <w:rPr>
          <w:sz w:val="18"/>
          <w:highlight w:val="yellow"/>
        </w:rPr>
        <w:t>version</w:t>
      </w:r>
      <w:proofErr w:type="gramEnd"/>
    </w:p>
    <w:p w14:paraId="47749D54" w14:textId="7767424E" w:rsidR="009D7241" w:rsidRDefault="004B03F2">
      <w:pPr>
        <w:spacing w:before="9"/>
        <w:ind w:right="477"/>
        <w:jc w:val="right"/>
        <w:rPr>
          <w:sz w:val="18"/>
        </w:rPr>
      </w:pPr>
      <w:r>
        <w:rPr>
          <w:sz w:val="18"/>
        </w:rPr>
        <w:t xml:space="preserve">PG. </w:t>
      </w:r>
      <w:r w:rsidR="006F0F87" w:rsidRPr="006F0F87">
        <w:rPr>
          <w:sz w:val="18"/>
          <w:highlight w:val="yellow"/>
        </w:rPr>
        <w:t xml:space="preserve">Insert </w:t>
      </w:r>
      <w:proofErr w:type="gramStart"/>
      <w:r w:rsidR="006F0F87" w:rsidRPr="006F0F87">
        <w:rPr>
          <w:sz w:val="18"/>
          <w:highlight w:val="yellow"/>
        </w:rPr>
        <w:t>date</w:t>
      </w:r>
      <w:proofErr w:type="gramEnd"/>
    </w:p>
    <w:p w14:paraId="5FC481E5" w14:textId="77777777" w:rsidR="009D7241" w:rsidRDefault="009D7241">
      <w:pPr>
        <w:jc w:val="right"/>
        <w:rPr>
          <w:sz w:val="18"/>
        </w:rPr>
        <w:sectPr w:rsidR="009D7241" w:rsidSect="00E323D6">
          <w:headerReference w:type="even" r:id="rId7"/>
          <w:headerReference w:type="default" r:id="rId8"/>
          <w:footerReference w:type="even" r:id="rId9"/>
          <w:footerReference w:type="default" r:id="rId10"/>
          <w:headerReference w:type="first" r:id="rId11"/>
          <w:footerReference w:type="first" r:id="rId12"/>
          <w:type w:val="continuous"/>
          <w:pgSz w:w="11920" w:h="16850"/>
          <w:pgMar w:top="680" w:right="260" w:bottom="280" w:left="680" w:header="57" w:footer="720" w:gutter="0"/>
          <w:cols w:space="720"/>
          <w:docGrid w:linePitch="299"/>
        </w:sect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8"/>
        <w:gridCol w:w="1719"/>
        <w:gridCol w:w="719"/>
        <w:gridCol w:w="1122"/>
        <w:gridCol w:w="4783"/>
      </w:tblGrid>
      <w:tr w:rsidR="009D7241" w14:paraId="0B93DC0A" w14:textId="77777777">
        <w:trPr>
          <w:trHeight w:val="549"/>
        </w:trPr>
        <w:tc>
          <w:tcPr>
            <w:tcW w:w="5178" w:type="dxa"/>
            <w:gridSpan w:val="4"/>
            <w:tcBorders>
              <w:bottom w:val="single" w:sz="4" w:space="0" w:color="000000"/>
              <w:right w:val="single" w:sz="4" w:space="0" w:color="000000"/>
            </w:tcBorders>
          </w:tcPr>
          <w:p w14:paraId="10B81AFE" w14:textId="77777777" w:rsidR="009D7241" w:rsidRDefault="004B03F2">
            <w:pPr>
              <w:pStyle w:val="TableParagraph"/>
              <w:spacing w:line="273" w:lineRule="exact"/>
              <w:ind w:left="820" w:right="808"/>
              <w:jc w:val="center"/>
              <w:rPr>
                <w:b/>
                <w:sz w:val="24"/>
              </w:rPr>
            </w:pPr>
            <w:r>
              <w:rPr>
                <w:b/>
                <w:sz w:val="24"/>
              </w:rPr>
              <w:lastRenderedPageBreak/>
              <w:t>Pharmacy</w:t>
            </w:r>
          </w:p>
          <w:p w14:paraId="01F02BDD" w14:textId="77777777" w:rsidR="009D7241" w:rsidRDefault="004B03F2">
            <w:pPr>
              <w:pStyle w:val="TableParagraph"/>
              <w:spacing w:line="256" w:lineRule="exact"/>
              <w:ind w:left="820" w:right="810"/>
              <w:jc w:val="center"/>
              <w:rPr>
                <w:b/>
                <w:sz w:val="24"/>
              </w:rPr>
            </w:pPr>
            <w:r>
              <w:rPr>
                <w:b/>
                <w:sz w:val="24"/>
              </w:rPr>
              <w:t>Standard Operating Procedure</w:t>
            </w:r>
          </w:p>
        </w:tc>
        <w:tc>
          <w:tcPr>
            <w:tcW w:w="4783" w:type="dxa"/>
            <w:vMerge w:val="restart"/>
            <w:tcBorders>
              <w:left w:val="single" w:sz="4" w:space="0" w:color="000000"/>
            </w:tcBorders>
          </w:tcPr>
          <w:p w14:paraId="75CF697D" w14:textId="77777777" w:rsidR="009D7241" w:rsidRDefault="009D7241">
            <w:pPr>
              <w:pStyle w:val="TableParagraph"/>
              <w:ind w:left="0"/>
              <w:rPr>
                <w:sz w:val="20"/>
              </w:rPr>
            </w:pPr>
          </w:p>
          <w:p w14:paraId="310EE70F" w14:textId="77777777" w:rsidR="009D7241" w:rsidRDefault="009D7241">
            <w:pPr>
              <w:pStyle w:val="TableParagraph"/>
              <w:spacing w:before="5"/>
              <w:ind w:left="0"/>
              <w:rPr>
                <w:sz w:val="13"/>
              </w:rPr>
            </w:pPr>
          </w:p>
          <w:p w14:paraId="23C30497" w14:textId="2067FE31" w:rsidR="009D7241" w:rsidRDefault="004B03F2">
            <w:pPr>
              <w:pStyle w:val="TableParagraph"/>
              <w:ind w:left="1013"/>
              <w:rPr>
                <w:sz w:val="20"/>
              </w:rPr>
            </w:pPr>
            <w:r w:rsidRPr="004B03F2">
              <w:rPr>
                <w:noProof/>
                <w:sz w:val="20"/>
                <w:highlight w:val="yellow"/>
              </w:rPr>
              <w:t>Insert trust logo</w:t>
            </w:r>
          </w:p>
        </w:tc>
      </w:tr>
      <w:tr w:rsidR="009D7241" w14:paraId="0207F298" w14:textId="77777777">
        <w:trPr>
          <w:trHeight w:val="275"/>
        </w:trPr>
        <w:tc>
          <w:tcPr>
            <w:tcW w:w="5178" w:type="dxa"/>
            <w:gridSpan w:val="4"/>
            <w:tcBorders>
              <w:top w:val="single" w:sz="4" w:space="0" w:color="000000"/>
              <w:bottom w:val="single" w:sz="4" w:space="0" w:color="7D7D7D"/>
              <w:right w:val="single" w:sz="4" w:space="0" w:color="000000"/>
            </w:tcBorders>
          </w:tcPr>
          <w:p w14:paraId="426D348A" w14:textId="27D05AFC" w:rsidR="009D7241" w:rsidRDefault="004B03F2">
            <w:pPr>
              <w:pStyle w:val="TableParagraph"/>
              <w:spacing w:line="255" w:lineRule="exact"/>
              <w:ind w:left="820" w:right="810"/>
              <w:jc w:val="center"/>
              <w:rPr>
                <w:b/>
                <w:sz w:val="24"/>
              </w:rPr>
            </w:pPr>
            <w:r w:rsidRPr="004B03F2">
              <w:rPr>
                <w:b/>
                <w:sz w:val="24"/>
                <w:highlight w:val="yellow"/>
              </w:rPr>
              <w:t>Insert document number</w:t>
            </w:r>
          </w:p>
        </w:tc>
        <w:tc>
          <w:tcPr>
            <w:tcW w:w="4783" w:type="dxa"/>
            <w:vMerge/>
            <w:tcBorders>
              <w:top w:val="nil"/>
              <w:left w:val="single" w:sz="4" w:space="0" w:color="000000"/>
            </w:tcBorders>
          </w:tcPr>
          <w:p w14:paraId="728561DB" w14:textId="77777777" w:rsidR="009D7241" w:rsidRDefault="009D7241">
            <w:pPr>
              <w:rPr>
                <w:sz w:val="2"/>
                <w:szCs w:val="2"/>
              </w:rPr>
            </w:pPr>
          </w:p>
        </w:tc>
      </w:tr>
      <w:tr w:rsidR="009D7241" w14:paraId="76962EA2" w14:textId="77777777">
        <w:trPr>
          <w:trHeight w:val="513"/>
        </w:trPr>
        <w:tc>
          <w:tcPr>
            <w:tcW w:w="1618" w:type="dxa"/>
            <w:tcBorders>
              <w:top w:val="single" w:sz="4" w:space="0" w:color="7D7D7D"/>
              <w:right w:val="nil"/>
            </w:tcBorders>
          </w:tcPr>
          <w:p w14:paraId="05F25138" w14:textId="77777777" w:rsidR="009D7241" w:rsidRDefault="004B03F2">
            <w:pPr>
              <w:pStyle w:val="TableParagraph"/>
              <w:spacing w:line="254" w:lineRule="exact"/>
              <w:ind w:left="107" w:right="175"/>
              <w:rPr>
                <w:b/>
              </w:rPr>
            </w:pPr>
            <w:r>
              <w:rPr>
                <w:b/>
              </w:rPr>
              <w:t>Therapeutic Pharmacists</w:t>
            </w:r>
          </w:p>
        </w:tc>
        <w:tc>
          <w:tcPr>
            <w:tcW w:w="1719" w:type="dxa"/>
            <w:tcBorders>
              <w:top w:val="single" w:sz="4" w:space="0" w:color="7D7D7D"/>
              <w:left w:val="nil"/>
              <w:right w:val="nil"/>
            </w:tcBorders>
          </w:tcPr>
          <w:p w14:paraId="3C2273F7" w14:textId="77777777" w:rsidR="009D7241" w:rsidRDefault="004B03F2">
            <w:pPr>
              <w:pStyle w:val="TableParagraph"/>
              <w:spacing w:line="250" w:lineRule="exact"/>
              <w:ind w:left="206"/>
              <w:rPr>
                <w:b/>
              </w:rPr>
            </w:pPr>
            <w:r>
              <w:rPr>
                <w:b/>
              </w:rPr>
              <w:t>Substitution</w:t>
            </w:r>
          </w:p>
        </w:tc>
        <w:tc>
          <w:tcPr>
            <w:tcW w:w="719" w:type="dxa"/>
            <w:tcBorders>
              <w:top w:val="single" w:sz="4" w:space="0" w:color="7D7D7D"/>
              <w:left w:val="nil"/>
              <w:right w:val="nil"/>
            </w:tcBorders>
          </w:tcPr>
          <w:p w14:paraId="10C7920E" w14:textId="77777777" w:rsidR="009D7241" w:rsidRDefault="004B03F2">
            <w:pPr>
              <w:pStyle w:val="TableParagraph"/>
              <w:spacing w:line="250" w:lineRule="exact"/>
              <w:ind w:left="238"/>
              <w:rPr>
                <w:b/>
              </w:rPr>
            </w:pPr>
            <w:r>
              <w:rPr>
                <w:b/>
              </w:rPr>
              <w:t>by</w:t>
            </w:r>
          </w:p>
        </w:tc>
        <w:tc>
          <w:tcPr>
            <w:tcW w:w="1122" w:type="dxa"/>
            <w:tcBorders>
              <w:top w:val="single" w:sz="4" w:space="0" w:color="7D7D7D"/>
              <w:left w:val="nil"/>
              <w:right w:val="single" w:sz="4" w:space="0" w:color="000000"/>
            </w:tcBorders>
          </w:tcPr>
          <w:p w14:paraId="533AEAA4" w14:textId="77777777" w:rsidR="009D7241" w:rsidRDefault="004B03F2">
            <w:pPr>
              <w:pStyle w:val="TableParagraph"/>
              <w:spacing w:line="250" w:lineRule="exact"/>
              <w:ind w:left="232"/>
              <w:rPr>
                <w:b/>
              </w:rPr>
            </w:pPr>
            <w:r>
              <w:rPr>
                <w:b/>
              </w:rPr>
              <w:t>Clinical</w:t>
            </w:r>
          </w:p>
        </w:tc>
        <w:tc>
          <w:tcPr>
            <w:tcW w:w="4783" w:type="dxa"/>
            <w:vMerge/>
            <w:tcBorders>
              <w:top w:val="nil"/>
              <w:left w:val="single" w:sz="4" w:space="0" w:color="000000"/>
            </w:tcBorders>
          </w:tcPr>
          <w:p w14:paraId="16488154" w14:textId="77777777" w:rsidR="009D7241" w:rsidRDefault="009D7241">
            <w:pPr>
              <w:rPr>
                <w:sz w:val="2"/>
                <w:szCs w:val="2"/>
              </w:rPr>
            </w:pPr>
          </w:p>
        </w:tc>
      </w:tr>
    </w:tbl>
    <w:p w14:paraId="7A87E2C0" w14:textId="77777777" w:rsidR="009D7241" w:rsidRDefault="009D7241">
      <w:pPr>
        <w:pStyle w:val="BodyText"/>
        <w:spacing w:before="4"/>
        <w:rPr>
          <w:sz w:val="19"/>
        </w:rPr>
      </w:pPr>
    </w:p>
    <w:p w14:paraId="4A12E127" w14:textId="77777777" w:rsidR="009D7241" w:rsidRDefault="004B03F2">
      <w:pPr>
        <w:pStyle w:val="Heading1"/>
        <w:numPr>
          <w:ilvl w:val="0"/>
          <w:numId w:val="1"/>
        </w:numPr>
        <w:tabs>
          <w:tab w:val="left" w:pos="1016"/>
          <w:tab w:val="left" w:pos="1017"/>
        </w:tabs>
        <w:spacing w:before="91"/>
      </w:pPr>
      <w:r>
        <w:t>Audience</w:t>
      </w:r>
    </w:p>
    <w:p w14:paraId="51546351" w14:textId="77777777" w:rsidR="009D7241" w:rsidRDefault="004B03F2">
      <w:pPr>
        <w:pStyle w:val="BodyText"/>
        <w:spacing w:before="45"/>
        <w:ind w:left="450"/>
      </w:pPr>
      <w:r>
        <w:t>Ward and Dispensary-based Clinical Pharmacists.</w:t>
      </w:r>
    </w:p>
    <w:p w14:paraId="2D730593" w14:textId="77777777" w:rsidR="009D7241" w:rsidRDefault="009D7241">
      <w:pPr>
        <w:pStyle w:val="BodyText"/>
        <w:spacing w:before="8"/>
        <w:rPr>
          <w:sz w:val="30"/>
        </w:rPr>
      </w:pPr>
    </w:p>
    <w:p w14:paraId="30A9A880" w14:textId="77777777" w:rsidR="009D7241" w:rsidRDefault="004B03F2">
      <w:pPr>
        <w:pStyle w:val="Heading1"/>
        <w:numPr>
          <w:ilvl w:val="0"/>
          <w:numId w:val="1"/>
        </w:numPr>
        <w:tabs>
          <w:tab w:val="left" w:pos="1016"/>
          <w:tab w:val="left" w:pos="1017"/>
        </w:tabs>
      </w:pPr>
      <w:r>
        <w:t>Associated Trust</w:t>
      </w:r>
      <w:r>
        <w:rPr>
          <w:spacing w:val="-12"/>
        </w:rPr>
        <w:t xml:space="preserve"> </w:t>
      </w:r>
      <w:r>
        <w:t>Documents</w:t>
      </w:r>
    </w:p>
    <w:p w14:paraId="77B21701" w14:textId="77777777" w:rsidR="009D7241" w:rsidRDefault="009D7241">
      <w:pPr>
        <w:pStyle w:val="BodyText"/>
        <w:spacing w:before="6"/>
        <w:rPr>
          <w:b/>
          <w:sz w:val="23"/>
        </w:rPr>
      </w:pPr>
    </w:p>
    <w:p w14:paraId="06297FC5" w14:textId="07E0A526" w:rsidR="009D7241" w:rsidRDefault="004B03F2">
      <w:pPr>
        <w:pStyle w:val="BodyText"/>
        <w:tabs>
          <w:tab w:val="left" w:pos="2259"/>
        </w:tabs>
        <w:ind w:left="558"/>
      </w:pPr>
      <w:r w:rsidRPr="004B03F2">
        <w:rPr>
          <w:highlight w:val="yellow"/>
        </w:rPr>
        <w:t xml:space="preserve">Insert document number and relevant documents </w:t>
      </w:r>
      <w:proofErr w:type="spellStart"/>
      <w:proofErr w:type="gramStart"/>
      <w:r w:rsidRPr="004B03F2">
        <w:rPr>
          <w:highlight w:val="yellow"/>
        </w:rPr>
        <w:t>e.g</w:t>
      </w:r>
      <w:proofErr w:type="spellEnd"/>
      <w:proofErr w:type="gramEnd"/>
      <w:r w:rsidRPr="004B03F2">
        <w:rPr>
          <w:highlight w:val="yellow"/>
        </w:rPr>
        <w:tab/>
        <w:t>Medicines Management</w:t>
      </w:r>
      <w:r w:rsidRPr="004B03F2">
        <w:rPr>
          <w:spacing w:val="-12"/>
          <w:highlight w:val="yellow"/>
        </w:rPr>
        <w:t xml:space="preserve"> </w:t>
      </w:r>
      <w:r w:rsidRPr="004B03F2">
        <w:rPr>
          <w:highlight w:val="yellow"/>
        </w:rPr>
        <w:t>Handbook</w:t>
      </w:r>
    </w:p>
    <w:p w14:paraId="01176C88" w14:textId="77777777" w:rsidR="009D7241" w:rsidRDefault="009D7241">
      <w:pPr>
        <w:pStyle w:val="BodyText"/>
        <w:spacing w:before="5"/>
        <w:rPr>
          <w:sz w:val="27"/>
        </w:rPr>
      </w:pPr>
    </w:p>
    <w:p w14:paraId="7AAB4737" w14:textId="77777777" w:rsidR="009D7241" w:rsidRDefault="004B03F2">
      <w:pPr>
        <w:pStyle w:val="Heading1"/>
        <w:numPr>
          <w:ilvl w:val="0"/>
          <w:numId w:val="1"/>
        </w:numPr>
        <w:tabs>
          <w:tab w:val="left" w:pos="1016"/>
          <w:tab w:val="left" w:pos="1017"/>
        </w:tabs>
      </w:pPr>
      <w:r>
        <w:t>Therapeutic</w:t>
      </w:r>
      <w:r>
        <w:rPr>
          <w:spacing w:val="-27"/>
        </w:rPr>
        <w:t xml:space="preserve"> </w:t>
      </w:r>
      <w:r>
        <w:t>Substitutions</w:t>
      </w:r>
    </w:p>
    <w:p w14:paraId="17D7F076" w14:textId="77777777" w:rsidR="009D7241" w:rsidRDefault="009D7241">
      <w:pPr>
        <w:pStyle w:val="BodyText"/>
        <w:spacing w:before="7"/>
        <w:rPr>
          <w:b/>
          <w:sz w:val="27"/>
        </w:rPr>
      </w:pPr>
    </w:p>
    <w:p w14:paraId="52309809" w14:textId="743EA925" w:rsidR="009D7241" w:rsidRDefault="004B03F2">
      <w:pPr>
        <w:pStyle w:val="ListParagraph"/>
        <w:numPr>
          <w:ilvl w:val="1"/>
          <w:numId w:val="1"/>
        </w:numPr>
        <w:tabs>
          <w:tab w:val="left" w:pos="1016"/>
          <w:tab w:val="left" w:pos="1017"/>
        </w:tabs>
        <w:ind w:right="590"/>
        <w:jc w:val="left"/>
        <w:rPr>
          <w:sz w:val="24"/>
        </w:rPr>
      </w:pPr>
      <w:r>
        <w:rPr>
          <w:b/>
          <w:sz w:val="24"/>
        </w:rPr>
        <w:t xml:space="preserve">When permitted? </w:t>
      </w:r>
      <w:r>
        <w:rPr>
          <w:sz w:val="24"/>
        </w:rPr>
        <w:t xml:space="preserve">Adult patients prescribed a medicine not in line with </w:t>
      </w:r>
      <w:r w:rsidRPr="004B03F2">
        <w:rPr>
          <w:sz w:val="24"/>
          <w:highlight w:val="yellow"/>
        </w:rPr>
        <w:t>Insert trust name</w:t>
      </w:r>
      <w:r>
        <w:rPr>
          <w:sz w:val="24"/>
        </w:rPr>
        <w:t xml:space="preserve"> formulary, where use over the relevant formulary approved medicine is of no clinical value. All substitutions will have been agreed in advance with prescribers through the </w:t>
      </w:r>
      <w:r w:rsidRPr="004B03F2">
        <w:rPr>
          <w:sz w:val="24"/>
          <w:highlight w:val="yellow"/>
        </w:rPr>
        <w:t xml:space="preserve">Insert trust </w:t>
      </w:r>
      <w:r w:rsidRPr="00FD2A06">
        <w:rPr>
          <w:sz w:val="24"/>
          <w:highlight w:val="yellow"/>
        </w:rPr>
        <w:t>name Drug and Therapeutics</w:t>
      </w:r>
      <w:r w:rsidRPr="00FD2A06">
        <w:rPr>
          <w:spacing w:val="-11"/>
          <w:sz w:val="24"/>
          <w:highlight w:val="yellow"/>
        </w:rPr>
        <w:t xml:space="preserve"> </w:t>
      </w:r>
      <w:r w:rsidRPr="00FD2A06">
        <w:rPr>
          <w:sz w:val="24"/>
          <w:highlight w:val="yellow"/>
        </w:rPr>
        <w:t>Committee.</w:t>
      </w:r>
    </w:p>
    <w:p w14:paraId="2D4581D0" w14:textId="77777777" w:rsidR="009D7241" w:rsidRDefault="004B03F2">
      <w:pPr>
        <w:pStyle w:val="ListParagraph"/>
        <w:numPr>
          <w:ilvl w:val="1"/>
          <w:numId w:val="1"/>
        </w:numPr>
        <w:tabs>
          <w:tab w:val="left" w:pos="1016"/>
          <w:tab w:val="left" w:pos="1017"/>
        </w:tabs>
        <w:spacing w:before="39"/>
        <w:jc w:val="left"/>
        <w:rPr>
          <w:sz w:val="24"/>
        </w:rPr>
      </w:pPr>
      <w:r>
        <w:rPr>
          <w:b/>
          <w:sz w:val="24"/>
        </w:rPr>
        <w:t xml:space="preserve">By whom? </w:t>
      </w:r>
      <w:r>
        <w:rPr>
          <w:sz w:val="24"/>
        </w:rPr>
        <w:t>Clinical Pharmacists where switch is deemed clinically</w:t>
      </w:r>
      <w:r>
        <w:rPr>
          <w:spacing w:val="-33"/>
          <w:sz w:val="24"/>
        </w:rPr>
        <w:t xml:space="preserve"> </w:t>
      </w:r>
      <w:proofErr w:type="gramStart"/>
      <w:r>
        <w:rPr>
          <w:sz w:val="24"/>
        </w:rPr>
        <w:t>appropriate</w:t>
      </w:r>
      <w:proofErr w:type="gramEnd"/>
    </w:p>
    <w:p w14:paraId="5E91DBA8" w14:textId="77777777" w:rsidR="009D7241" w:rsidRDefault="004B03F2">
      <w:pPr>
        <w:pStyle w:val="ListParagraph"/>
        <w:numPr>
          <w:ilvl w:val="1"/>
          <w:numId w:val="1"/>
        </w:numPr>
        <w:tabs>
          <w:tab w:val="left" w:pos="1016"/>
          <w:tab w:val="left" w:pos="1017"/>
        </w:tabs>
        <w:spacing w:before="38"/>
        <w:ind w:right="906"/>
        <w:jc w:val="left"/>
        <w:rPr>
          <w:sz w:val="24"/>
        </w:rPr>
      </w:pPr>
      <w:r>
        <w:rPr>
          <w:b/>
          <w:sz w:val="24"/>
        </w:rPr>
        <w:t xml:space="preserve">Drug and dose to switch: </w:t>
      </w:r>
      <w:r>
        <w:rPr>
          <w:sz w:val="24"/>
        </w:rPr>
        <w:t>Patients prescribed medicines on approved list (Appendix A), and only to approved drug and dose combination on approved list where</w:t>
      </w:r>
      <w:r>
        <w:rPr>
          <w:spacing w:val="11"/>
          <w:sz w:val="24"/>
        </w:rPr>
        <w:t xml:space="preserve"> </w:t>
      </w:r>
      <w:r>
        <w:rPr>
          <w:sz w:val="24"/>
        </w:rPr>
        <w:t>stated.</w:t>
      </w:r>
    </w:p>
    <w:p w14:paraId="1CA4A6BB" w14:textId="77777777" w:rsidR="009D7241" w:rsidRDefault="009D7241">
      <w:pPr>
        <w:pStyle w:val="BodyText"/>
        <w:spacing w:before="4"/>
        <w:rPr>
          <w:sz w:val="31"/>
        </w:rPr>
      </w:pPr>
    </w:p>
    <w:p w14:paraId="739D2095" w14:textId="77777777" w:rsidR="009D7241" w:rsidRDefault="004B03F2">
      <w:pPr>
        <w:pStyle w:val="Heading2"/>
        <w:numPr>
          <w:ilvl w:val="1"/>
          <w:numId w:val="1"/>
        </w:numPr>
        <w:tabs>
          <w:tab w:val="left" w:pos="1016"/>
          <w:tab w:val="left" w:pos="1017"/>
        </w:tabs>
        <w:jc w:val="left"/>
      </w:pPr>
      <w:r>
        <w:t>Switching procedure when on drug</w:t>
      </w:r>
      <w:r>
        <w:rPr>
          <w:spacing w:val="-7"/>
        </w:rPr>
        <w:t xml:space="preserve"> </w:t>
      </w:r>
      <w:r>
        <w:t>chart:</w:t>
      </w:r>
    </w:p>
    <w:p w14:paraId="6DF7ED5C" w14:textId="77777777" w:rsidR="009D7241" w:rsidRDefault="009D7241">
      <w:pPr>
        <w:pStyle w:val="BodyText"/>
        <w:spacing w:before="8"/>
        <w:rPr>
          <w:b/>
          <w:sz w:val="27"/>
        </w:rPr>
      </w:pPr>
    </w:p>
    <w:p w14:paraId="5B59DEBA" w14:textId="77777777" w:rsidR="009D7241" w:rsidRDefault="004B03F2">
      <w:pPr>
        <w:pStyle w:val="ListParagraph"/>
        <w:numPr>
          <w:ilvl w:val="2"/>
          <w:numId w:val="1"/>
        </w:numPr>
        <w:tabs>
          <w:tab w:val="left" w:pos="1017"/>
        </w:tabs>
        <w:spacing w:line="237" w:lineRule="auto"/>
        <w:ind w:left="1167" w:right="691" w:hanging="720"/>
        <w:rPr>
          <w:sz w:val="24"/>
        </w:rPr>
      </w:pPr>
      <w:r>
        <w:rPr>
          <w:sz w:val="24"/>
        </w:rPr>
        <w:t>The pharmacist will score through both the drug name and administration section of the prescription</w:t>
      </w:r>
      <w:r>
        <w:rPr>
          <w:spacing w:val="-2"/>
          <w:sz w:val="24"/>
        </w:rPr>
        <w:t xml:space="preserve"> </w:t>
      </w:r>
      <w:r>
        <w:rPr>
          <w:sz w:val="24"/>
        </w:rPr>
        <w:t>that</w:t>
      </w:r>
      <w:r>
        <w:rPr>
          <w:spacing w:val="-5"/>
          <w:sz w:val="24"/>
        </w:rPr>
        <w:t xml:space="preserve"> </w:t>
      </w:r>
      <w:r>
        <w:rPr>
          <w:sz w:val="24"/>
        </w:rPr>
        <w:t>is</w:t>
      </w:r>
      <w:r>
        <w:rPr>
          <w:spacing w:val="-3"/>
          <w:sz w:val="24"/>
        </w:rPr>
        <w:t xml:space="preserve"> </w:t>
      </w:r>
      <w:r>
        <w:rPr>
          <w:sz w:val="24"/>
        </w:rPr>
        <w:t>being</w:t>
      </w:r>
      <w:r>
        <w:rPr>
          <w:spacing w:val="-4"/>
          <w:sz w:val="24"/>
        </w:rPr>
        <w:t xml:space="preserve"> </w:t>
      </w:r>
      <w:r>
        <w:rPr>
          <w:sz w:val="24"/>
        </w:rPr>
        <w:t>substituted</w:t>
      </w:r>
      <w:r>
        <w:rPr>
          <w:spacing w:val="-4"/>
          <w:sz w:val="24"/>
        </w:rPr>
        <w:t xml:space="preserve"> </w:t>
      </w:r>
      <w:r>
        <w:rPr>
          <w:sz w:val="24"/>
        </w:rPr>
        <w:t>in</w:t>
      </w:r>
      <w:r>
        <w:rPr>
          <w:spacing w:val="-2"/>
          <w:sz w:val="24"/>
        </w:rPr>
        <w:t xml:space="preserve"> </w:t>
      </w:r>
      <w:r>
        <w:rPr>
          <w:b/>
          <w:color w:val="FF0000"/>
          <w:sz w:val="24"/>
        </w:rPr>
        <w:t>red</w:t>
      </w:r>
      <w:r>
        <w:rPr>
          <w:b/>
          <w:color w:val="FF0000"/>
          <w:spacing w:val="-5"/>
          <w:sz w:val="24"/>
        </w:rPr>
        <w:t xml:space="preserve"> </w:t>
      </w:r>
      <w:r>
        <w:rPr>
          <w:sz w:val="24"/>
        </w:rPr>
        <w:t>pen,</w:t>
      </w:r>
      <w:r>
        <w:rPr>
          <w:spacing w:val="-5"/>
          <w:sz w:val="24"/>
        </w:rPr>
        <w:t xml:space="preserve"> </w:t>
      </w:r>
      <w:r>
        <w:rPr>
          <w:sz w:val="24"/>
        </w:rPr>
        <w:t>and</w:t>
      </w:r>
      <w:r>
        <w:rPr>
          <w:spacing w:val="-4"/>
          <w:sz w:val="24"/>
        </w:rPr>
        <w:t xml:space="preserve"> </w:t>
      </w:r>
      <w:r>
        <w:rPr>
          <w:sz w:val="24"/>
        </w:rPr>
        <w:t>endorse</w:t>
      </w:r>
      <w:r>
        <w:rPr>
          <w:spacing w:val="-2"/>
          <w:sz w:val="24"/>
        </w:rPr>
        <w:t xml:space="preserve"> </w:t>
      </w:r>
      <w:r>
        <w:rPr>
          <w:sz w:val="24"/>
        </w:rPr>
        <w:t>‘therapeutic</w:t>
      </w:r>
      <w:r>
        <w:rPr>
          <w:spacing w:val="-26"/>
          <w:sz w:val="24"/>
        </w:rPr>
        <w:t xml:space="preserve"> </w:t>
      </w:r>
      <w:proofErr w:type="gramStart"/>
      <w:r>
        <w:rPr>
          <w:sz w:val="24"/>
        </w:rPr>
        <w:t>substitution</w:t>
      </w:r>
      <w:proofErr w:type="gramEnd"/>
      <w:r>
        <w:rPr>
          <w:sz w:val="24"/>
        </w:rPr>
        <w:t>’</w:t>
      </w:r>
    </w:p>
    <w:p w14:paraId="21C26C99" w14:textId="77777777" w:rsidR="009D7241" w:rsidRDefault="009D7241">
      <w:pPr>
        <w:pStyle w:val="BodyText"/>
        <w:spacing w:before="7"/>
        <w:rPr>
          <w:sz w:val="31"/>
        </w:rPr>
      </w:pPr>
    </w:p>
    <w:p w14:paraId="3ACCFA0E" w14:textId="77777777" w:rsidR="009D7241" w:rsidRDefault="004B03F2">
      <w:pPr>
        <w:pStyle w:val="ListParagraph"/>
        <w:numPr>
          <w:ilvl w:val="2"/>
          <w:numId w:val="1"/>
        </w:numPr>
        <w:tabs>
          <w:tab w:val="left" w:pos="1017"/>
        </w:tabs>
        <w:spacing w:line="237" w:lineRule="auto"/>
        <w:ind w:left="1167" w:right="694" w:hanging="720"/>
        <w:rPr>
          <w:sz w:val="24"/>
        </w:rPr>
      </w:pPr>
      <w:r>
        <w:rPr>
          <w:sz w:val="24"/>
        </w:rPr>
        <w:t xml:space="preserve">The pharmacist will use photocopy-legible </w:t>
      </w:r>
      <w:r>
        <w:rPr>
          <w:b/>
          <w:color w:val="FF0000"/>
          <w:sz w:val="24"/>
        </w:rPr>
        <w:t xml:space="preserve">red </w:t>
      </w:r>
      <w:r>
        <w:rPr>
          <w:sz w:val="24"/>
        </w:rPr>
        <w:t>pen to specify the replacement medicine and to sign against it in the signature</w:t>
      </w:r>
      <w:r>
        <w:rPr>
          <w:spacing w:val="-15"/>
          <w:sz w:val="24"/>
        </w:rPr>
        <w:t xml:space="preserve"> </w:t>
      </w:r>
      <w:proofErr w:type="gramStart"/>
      <w:r>
        <w:rPr>
          <w:sz w:val="24"/>
        </w:rPr>
        <w:t>box</w:t>
      </w:r>
      <w:proofErr w:type="gramEnd"/>
    </w:p>
    <w:p w14:paraId="64A1C812" w14:textId="77777777" w:rsidR="009D7241" w:rsidRDefault="009D7241">
      <w:pPr>
        <w:pStyle w:val="BodyText"/>
        <w:spacing w:before="4"/>
        <w:rPr>
          <w:sz w:val="31"/>
        </w:rPr>
      </w:pPr>
    </w:p>
    <w:p w14:paraId="2D854457" w14:textId="77777777" w:rsidR="009D7241" w:rsidRDefault="004B03F2">
      <w:pPr>
        <w:pStyle w:val="ListParagraph"/>
        <w:numPr>
          <w:ilvl w:val="2"/>
          <w:numId w:val="1"/>
        </w:numPr>
        <w:tabs>
          <w:tab w:val="left" w:pos="1084"/>
        </w:tabs>
        <w:ind w:left="1167" w:right="849" w:hanging="720"/>
        <w:rPr>
          <w:b/>
          <w:sz w:val="24"/>
        </w:rPr>
      </w:pPr>
      <w:r>
        <w:rPr>
          <w:sz w:val="24"/>
        </w:rPr>
        <w:t xml:space="preserve">A clinician </w:t>
      </w:r>
      <w:proofErr w:type="gramStart"/>
      <w:r>
        <w:rPr>
          <w:sz w:val="24"/>
        </w:rPr>
        <w:t>counter-signature</w:t>
      </w:r>
      <w:proofErr w:type="gramEnd"/>
      <w:r>
        <w:rPr>
          <w:sz w:val="24"/>
        </w:rPr>
        <w:t xml:space="preserve"> is not required for therapeutic substitution. However, the pharmacist should endeavor to highlight the change through </w:t>
      </w:r>
      <w:r>
        <w:rPr>
          <w:b/>
          <w:sz w:val="24"/>
        </w:rPr>
        <w:t>a comment in clinical notes.</w:t>
      </w:r>
    </w:p>
    <w:p w14:paraId="6C9B835C" w14:textId="77777777" w:rsidR="009D7241" w:rsidRDefault="009D7241">
      <w:pPr>
        <w:pStyle w:val="BodyText"/>
        <w:spacing w:before="11"/>
        <w:rPr>
          <w:b/>
          <w:sz w:val="30"/>
        </w:rPr>
      </w:pPr>
    </w:p>
    <w:p w14:paraId="250B64BF" w14:textId="77777777" w:rsidR="009D7241" w:rsidRDefault="004B03F2">
      <w:pPr>
        <w:pStyle w:val="Heading2"/>
        <w:numPr>
          <w:ilvl w:val="1"/>
          <w:numId w:val="1"/>
        </w:numPr>
        <w:tabs>
          <w:tab w:val="left" w:pos="1010"/>
        </w:tabs>
        <w:ind w:left="1009" w:hanging="486"/>
        <w:jc w:val="left"/>
      </w:pPr>
      <w:r>
        <w:t>Switching procedure when on</w:t>
      </w:r>
      <w:r>
        <w:rPr>
          <w:spacing w:val="-11"/>
        </w:rPr>
        <w:t xml:space="preserve"> </w:t>
      </w:r>
      <w:r>
        <w:t>EPMA:</w:t>
      </w:r>
    </w:p>
    <w:p w14:paraId="4124C4D6" w14:textId="77777777" w:rsidR="009D7241" w:rsidRDefault="009D7241">
      <w:pPr>
        <w:pStyle w:val="BodyText"/>
        <w:rPr>
          <w:b/>
        </w:rPr>
      </w:pPr>
    </w:p>
    <w:p w14:paraId="3AA00A3A" w14:textId="26053A8E" w:rsidR="009D7241" w:rsidRDefault="004B03F2">
      <w:pPr>
        <w:pStyle w:val="ListParagraph"/>
        <w:numPr>
          <w:ilvl w:val="2"/>
          <w:numId w:val="1"/>
        </w:numPr>
        <w:tabs>
          <w:tab w:val="left" w:pos="1168"/>
        </w:tabs>
        <w:ind w:hanging="720"/>
        <w:rPr>
          <w:sz w:val="24"/>
        </w:rPr>
      </w:pPr>
      <w:r>
        <w:rPr>
          <w:sz w:val="24"/>
        </w:rPr>
        <w:t>The pharmacist can use the EPMA function to prescribe “on behalf of” a prescriber</w:t>
      </w:r>
      <w:r>
        <w:rPr>
          <w:spacing w:val="-29"/>
          <w:sz w:val="24"/>
        </w:rPr>
        <w:t xml:space="preserve"> </w:t>
      </w:r>
      <w:r>
        <w:rPr>
          <w:sz w:val="24"/>
        </w:rPr>
        <w:t>and</w:t>
      </w:r>
    </w:p>
    <w:p w14:paraId="28B52DA9" w14:textId="77777777" w:rsidR="009D7241" w:rsidRDefault="004B03F2">
      <w:pPr>
        <w:pStyle w:val="Heading2"/>
        <w:ind w:left="1182"/>
      </w:pPr>
      <w:r>
        <w:t>endorse the prescription ‘therapeutic substitution’.</w:t>
      </w:r>
    </w:p>
    <w:p w14:paraId="49A57706" w14:textId="77777777" w:rsidR="009D7241" w:rsidRDefault="009D7241">
      <w:pPr>
        <w:pStyle w:val="BodyText"/>
        <w:rPr>
          <w:b/>
        </w:rPr>
      </w:pPr>
    </w:p>
    <w:p w14:paraId="6BD3F7B8" w14:textId="77777777" w:rsidR="009D7241" w:rsidRDefault="004B03F2">
      <w:pPr>
        <w:pStyle w:val="ListParagraph"/>
        <w:numPr>
          <w:ilvl w:val="2"/>
          <w:numId w:val="1"/>
        </w:numPr>
        <w:tabs>
          <w:tab w:val="left" w:pos="1168"/>
        </w:tabs>
        <w:ind w:left="1167" w:right="765" w:hanging="720"/>
        <w:rPr>
          <w:b/>
          <w:sz w:val="24"/>
        </w:rPr>
      </w:pPr>
      <w:r>
        <w:rPr>
          <w:sz w:val="24"/>
        </w:rPr>
        <w:t xml:space="preserve">A clinician </w:t>
      </w:r>
      <w:proofErr w:type="gramStart"/>
      <w:r>
        <w:rPr>
          <w:sz w:val="24"/>
        </w:rPr>
        <w:t>counter-signature</w:t>
      </w:r>
      <w:proofErr w:type="gramEnd"/>
      <w:r>
        <w:rPr>
          <w:sz w:val="24"/>
        </w:rPr>
        <w:t xml:space="preserve"> is not required for therapeutic substitution. However, the pharmacist should endeavor to highlight the change through </w:t>
      </w:r>
      <w:r>
        <w:rPr>
          <w:b/>
          <w:sz w:val="24"/>
        </w:rPr>
        <w:t>a comment in clinical notes.</w:t>
      </w:r>
    </w:p>
    <w:p w14:paraId="3DD3462E" w14:textId="77777777" w:rsidR="009D7241" w:rsidRDefault="009D7241">
      <w:pPr>
        <w:rPr>
          <w:sz w:val="24"/>
        </w:rPr>
        <w:sectPr w:rsidR="009D7241">
          <w:footerReference w:type="default" r:id="rId13"/>
          <w:pgSz w:w="11920" w:h="16850"/>
          <w:pgMar w:top="680" w:right="260" w:bottom="1240" w:left="680" w:header="0" w:footer="1049" w:gutter="0"/>
          <w:pgNumType w:start="2"/>
          <w:cols w:space="720"/>
        </w:sectPr>
      </w:pPr>
    </w:p>
    <w:p w14:paraId="6D3821C2" w14:textId="77777777" w:rsidR="009D7241" w:rsidRDefault="004B03F2">
      <w:pPr>
        <w:pStyle w:val="Heading1"/>
        <w:numPr>
          <w:ilvl w:val="0"/>
          <w:numId w:val="1"/>
        </w:numPr>
        <w:tabs>
          <w:tab w:val="left" w:pos="971"/>
          <w:tab w:val="left" w:pos="972"/>
        </w:tabs>
        <w:spacing w:before="70"/>
        <w:ind w:left="971" w:hanging="522"/>
      </w:pPr>
      <w:r>
        <w:lastRenderedPageBreak/>
        <w:t>Monitoring</w:t>
      </w:r>
      <w:r>
        <w:rPr>
          <w:spacing w:val="-1"/>
        </w:rPr>
        <w:t xml:space="preserve"> </w:t>
      </w:r>
      <w:r>
        <w:t>Compliance</w:t>
      </w:r>
    </w:p>
    <w:p w14:paraId="1D740185" w14:textId="77777777" w:rsidR="009D7241" w:rsidRDefault="009D7241">
      <w:pPr>
        <w:pStyle w:val="BodyText"/>
        <w:rPr>
          <w:b/>
          <w:sz w:val="30"/>
        </w:rPr>
      </w:pPr>
    </w:p>
    <w:p w14:paraId="066B107B" w14:textId="77777777" w:rsidR="009D7241" w:rsidRDefault="004B03F2">
      <w:pPr>
        <w:pStyle w:val="BodyText"/>
        <w:spacing w:before="194"/>
        <w:ind w:left="251" w:right="365"/>
        <w:jc w:val="both"/>
      </w:pPr>
      <w:r>
        <w:t xml:space="preserve">A 5-day point prevalence audit of compliance will be carried out on a nominated week by the </w:t>
      </w:r>
      <w:r w:rsidRPr="00FD2A06">
        <w:rPr>
          <w:highlight w:val="yellow"/>
        </w:rPr>
        <w:t>Principal Pharmacist for Clinical Pharmacy Services (or a nominated deputy</w:t>
      </w:r>
      <w:r>
        <w:t>). This audit will be carried</w:t>
      </w:r>
      <w:r>
        <w:rPr>
          <w:spacing w:val="-4"/>
        </w:rPr>
        <w:t xml:space="preserve"> </w:t>
      </w:r>
      <w:r>
        <w:t>out</w:t>
      </w:r>
      <w:r>
        <w:rPr>
          <w:spacing w:val="-7"/>
        </w:rPr>
        <w:t xml:space="preserve"> </w:t>
      </w:r>
      <w:r>
        <w:t>6</w:t>
      </w:r>
      <w:r>
        <w:rPr>
          <w:spacing w:val="-4"/>
        </w:rPr>
        <w:t xml:space="preserve"> </w:t>
      </w:r>
      <w:r>
        <w:t>months</w:t>
      </w:r>
      <w:r>
        <w:rPr>
          <w:spacing w:val="-4"/>
        </w:rPr>
        <w:t xml:space="preserve"> </w:t>
      </w:r>
      <w:r>
        <w:t>after</w:t>
      </w:r>
      <w:r>
        <w:rPr>
          <w:spacing w:val="-6"/>
        </w:rPr>
        <w:t xml:space="preserve"> </w:t>
      </w:r>
      <w:proofErr w:type="gramStart"/>
      <w:r>
        <w:t>initial</w:t>
      </w:r>
      <w:proofErr w:type="gramEnd"/>
      <w:r>
        <w:rPr>
          <w:spacing w:val="-6"/>
        </w:rPr>
        <w:t xml:space="preserve"> </w:t>
      </w:r>
      <w:r>
        <w:t>implementation</w:t>
      </w:r>
      <w:r>
        <w:rPr>
          <w:spacing w:val="-3"/>
        </w:rPr>
        <w:t xml:space="preserve"> </w:t>
      </w:r>
      <w:r>
        <w:t>of</w:t>
      </w:r>
      <w:r>
        <w:rPr>
          <w:spacing w:val="-2"/>
        </w:rPr>
        <w:t xml:space="preserve"> </w:t>
      </w:r>
      <w:r>
        <w:t>this</w:t>
      </w:r>
      <w:r>
        <w:rPr>
          <w:spacing w:val="-5"/>
        </w:rPr>
        <w:t xml:space="preserve"> </w:t>
      </w:r>
      <w:r>
        <w:t>SOP</w:t>
      </w:r>
      <w:r>
        <w:rPr>
          <w:spacing w:val="-5"/>
        </w:rPr>
        <w:t xml:space="preserve"> </w:t>
      </w:r>
      <w:r>
        <w:t>and</w:t>
      </w:r>
      <w:r>
        <w:rPr>
          <w:spacing w:val="-3"/>
        </w:rPr>
        <w:t xml:space="preserve"> </w:t>
      </w:r>
      <w:r>
        <w:t>then</w:t>
      </w:r>
      <w:r>
        <w:rPr>
          <w:spacing w:val="-7"/>
        </w:rPr>
        <w:t xml:space="preserve"> </w:t>
      </w:r>
      <w:r>
        <w:t>annually</w:t>
      </w:r>
      <w:r>
        <w:rPr>
          <w:spacing w:val="-8"/>
        </w:rPr>
        <w:t xml:space="preserve"> </w:t>
      </w:r>
      <w:r>
        <w:t>thereafter.</w:t>
      </w:r>
      <w:r>
        <w:rPr>
          <w:spacing w:val="-4"/>
        </w:rPr>
        <w:t xml:space="preserve"> </w:t>
      </w:r>
      <w:r>
        <w:t>The</w:t>
      </w:r>
      <w:r>
        <w:rPr>
          <w:spacing w:val="-4"/>
        </w:rPr>
        <w:t xml:space="preserve"> </w:t>
      </w:r>
      <w:r>
        <w:t>aim of this audit will be to ensure therapeutic substitutions by Pharmacists are appropriate and safe and</w:t>
      </w:r>
      <w:r>
        <w:rPr>
          <w:spacing w:val="-9"/>
        </w:rPr>
        <w:t xml:space="preserve"> </w:t>
      </w:r>
      <w:r>
        <w:t>had</w:t>
      </w:r>
      <w:r>
        <w:rPr>
          <w:spacing w:val="-6"/>
        </w:rPr>
        <w:t xml:space="preserve"> </w:t>
      </w:r>
      <w:r>
        <w:t>been</w:t>
      </w:r>
      <w:r>
        <w:rPr>
          <w:spacing w:val="-8"/>
        </w:rPr>
        <w:t xml:space="preserve"> </w:t>
      </w:r>
      <w:r>
        <w:t>agreed</w:t>
      </w:r>
      <w:r>
        <w:rPr>
          <w:spacing w:val="-7"/>
        </w:rPr>
        <w:t xml:space="preserve"> </w:t>
      </w:r>
      <w:r>
        <w:t>in</w:t>
      </w:r>
      <w:r>
        <w:rPr>
          <w:spacing w:val="-6"/>
        </w:rPr>
        <w:t xml:space="preserve"> </w:t>
      </w:r>
      <w:r>
        <w:t>advance.</w:t>
      </w:r>
      <w:r>
        <w:rPr>
          <w:spacing w:val="-9"/>
        </w:rPr>
        <w:t xml:space="preserve"> </w:t>
      </w:r>
      <w:r>
        <w:t>The</w:t>
      </w:r>
      <w:r>
        <w:rPr>
          <w:spacing w:val="-7"/>
        </w:rPr>
        <w:t xml:space="preserve"> </w:t>
      </w:r>
      <w:r>
        <w:t>results</w:t>
      </w:r>
      <w:r>
        <w:rPr>
          <w:spacing w:val="-9"/>
        </w:rPr>
        <w:t xml:space="preserve"> </w:t>
      </w:r>
      <w:r>
        <w:t>and</w:t>
      </w:r>
      <w:r>
        <w:rPr>
          <w:spacing w:val="-8"/>
        </w:rPr>
        <w:t xml:space="preserve"> </w:t>
      </w:r>
      <w:r>
        <w:t>any</w:t>
      </w:r>
      <w:r>
        <w:rPr>
          <w:spacing w:val="-9"/>
        </w:rPr>
        <w:t xml:space="preserve"> </w:t>
      </w:r>
      <w:r>
        <w:t>recommended</w:t>
      </w:r>
      <w:r>
        <w:rPr>
          <w:spacing w:val="-7"/>
        </w:rPr>
        <w:t xml:space="preserve"> </w:t>
      </w:r>
      <w:r>
        <w:t>action</w:t>
      </w:r>
      <w:r>
        <w:rPr>
          <w:spacing w:val="-6"/>
        </w:rPr>
        <w:t xml:space="preserve"> </w:t>
      </w:r>
      <w:r>
        <w:t>will</w:t>
      </w:r>
      <w:r>
        <w:rPr>
          <w:spacing w:val="-7"/>
        </w:rPr>
        <w:t xml:space="preserve"> </w:t>
      </w:r>
      <w:r>
        <w:t>be</w:t>
      </w:r>
      <w:r>
        <w:rPr>
          <w:spacing w:val="-8"/>
        </w:rPr>
        <w:t xml:space="preserve"> </w:t>
      </w:r>
      <w:r>
        <w:t>fed</w:t>
      </w:r>
      <w:r>
        <w:rPr>
          <w:spacing w:val="-9"/>
        </w:rPr>
        <w:t xml:space="preserve"> </w:t>
      </w:r>
      <w:r>
        <w:t>back</w:t>
      </w:r>
      <w:r>
        <w:rPr>
          <w:spacing w:val="-7"/>
        </w:rPr>
        <w:t xml:space="preserve"> </w:t>
      </w:r>
      <w:r>
        <w:t>to</w:t>
      </w:r>
      <w:r>
        <w:rPr>
          <w:spacing w:val="-6"/>
        </w:rPr>
        <w:t xml:space="preserve"> </w:t>
      </w:r>
      <w:r>
        <w:t xml:space="preserve">the </w:t>
      </w:r>
      <w:r w:rsidRPr="00FD2A06">
        <w:rPr>
          <w:highlight w:val="yellow"/>
        </w:rPr>
        <w:t>Drug and Therapeutics Committee</w:t>
      </w:r>
      <w:r>
        <w:t xml:space="preserve"> for discussion and</w:t>
      </w:r>
      <w:r>
        <w:rPr>
          <w:spacing w:val="-7"/>
        </w:rPr>
        <w:t xml:space="preserve"> </w:t>
      </w:r>
      <w:r>
        <w:t>agreement.</w:t>
      </w:r>
    </w:p>
    <w:p w14:paraId="5463E4E5" w14:textId="77777777" w:rsidR="009D7241" w:rsidRDefault="009D7241">
      <w:pPr>
        <w:pStyle w:val="BodyText"/>
        <w:spacing w:before="10"/>
        <w:rPr>
          <w:sz w:val="29"/>
        </w:rPr>
      </w:pPr>
    </w:p>
    <w:p w14:paraId="17511776" w14:textId="77777777" w:rsidR="009D7241" w:rsidRDefault="004B03F2">
      <w:pPr>
        <w:pStyle w:val="Heading1"/>
        <w:numPr>
          <w:ilvl w:val="0"/>
          <w:numId w:val="1"/>
        </w:numPr>
        <w:tabs>
          <w:tab w:val="left" w:pos="1016"/>
          <w:tab w:val="left" w:pos="1017"/>
        </w:tabs>
      </w:pPr>
      <w:r>
        <w:t>Bibliography</w:t>
      </w:r>
    </w:p>
    <w:p w14:paraId="1CFDBD6C" w14:textId="77777777" w:rsidR="009D7241" w:rsidRDefault="004B03F2">
      <w:pPr>
        <w:pStyle w:val="BodyText"/>
        <w:spacing w:before="112" w:line="237" w:lineRule="auto"/>
        <w:ind w:left="450" w:right="1172"/>
      </w:pPr>
      <w:r>
        <w:t>Oxford University Hospitals NHS Trust 2014. Medicines Information Leaflet Vol 5, No. 3. Therapeutic Substitution.</w:t>
      </w:r>
    </w:p>
    <w:p w14:paraId="58C698DB" w14:textId="55B021E8" w:rsidR="009D7241" w:rsidRDefault="00444D16">
      <w:pPr>
        <w:sectPr w:rsidR="009D7241">
          <w:pgSz w:w="11920" w:h="16850"/>
          <w:pgMar w:top="1500" w:right="260" w:bottom="1260" w:left="680" w:header="0" w:footer="1049" w:gutter="0"/>
          <w:cols w:space="720"/>
        </w:sectPr>
      </w:pPr>
      <w:proofErr w:type="spellStart"/>
      <w:r>
        <w:t>sni</w:t>
      </w:r>
      <w:proofErr w:type="spellEnd"/>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0"/>
        <w:gridCol w:w="1770"/>
        <w:gridCol w:w="687"/>
        <w:gridCol w:w="1038"/>
        <w:gridCol w:w="4782"/>
      </w:tblGrid>
      <w:tr w:rsidR="009D7241" w14:paraId="577DE5BC" w14:textId="77777777">
        <w:trPr>
          <w:trHeight w:val="549"/>
        </w:trPr>
        <w:tc>
          <w:tcPr>
            <w:tcW w:w="5175" w:type="dxa"/>
            <w:gridSpan w:val="4"/>
            <w:tcBorders>
              <w:bottom w:val="single" w:sz="4" w:space="0" w:color="000000"/>
              <w:right w:val="single" w:sz="4" w:space="0" w:color="000000"/>
            </w:tcBorders>
          </w:tcPr>
          <w:p w14:paraId="55E2FE85" w14:textId="77777777" w:rsidR="009D7241" w:rsidRDefault="004B03F2">
            <w:pPr>
              <w:pStyle w:val="TableParagraph"/>
              <w:spacing w:line="273" w:lineRule="exact"/>
              <w:ind w:left="820" w:right="805"/>
              <w:jc w:val="center"/>
              <w:rPr>
                <w:b/>
                <w:sz w:val="24"/>
              </w:rPr>
            </w:pPr>
            <w:r>
              <w:rPr>
                <w:b/>
                <w:sz w:val="24"/>
              </w:rPr>
              <w:lastRenderedPageBreak/>
              <w:t>Pharmacy</w:t>
            </w:r>
          </w:p>
          <w:p w14:paraId="004B22EA" w14:textId="77777777" w:rsidR="009D7241" w:rsidRDefault="004B03F2">
            <w:pPr>
              <w:pStyle w:val="TableParagraph"/>
              <w:spacing w:line="256" w:lineRule="exact"/>
              <w:ind w:left="820" w:right="807"/>
              <w:jc w:val="center"/>
              <w:rPr>
                <w:b/>
                <w:sz w:val="24"/>
              </w:rPr>
            </w:pPr>
            <w:r>
              <w:rPr>
                <w:b/>
                <w:sz w:val="24"/>
              </w:rPr>
              <w:t>Standard Operating Procedure</w:t>
            </w:r>
          </w:p>
        </w:tc>
        <w:tc>
          <w:tcPr>
            <w:tcW w:w="4782" w:type="dxa"/>
            <w:vMerge w:val="restart"/>
            <w:tcBorders>
              <w:left w:val="single" w:sz="4" w:space="0" w:color="000000"/>
            </w:tcBorders>
          </w:tcPr>
          <w:p w14:paraId="5D872261" w14:textId="77777777" w:rsidR="009D7241" w:rsidRDefault="009D7241">
            <w:pPr>
              <w:pStyle w:val="TableParagraph"/>
              <w:ind w:left="0"/>
              <w:rPr>
                <w:sz w:val="20"/>
              </w:rPr>
            </w:pPr>
          </w:p>
          <w:p w14:paraId="243EC5FF" w14:textId="77777777" w:rsidR="009D7241" w:rsidRDefault="009D7241">
            <w:pPr>
              <w:pStyle w:val="TableParagraph"/>
              <w:spacing w:before="5"/>
              <w:ind w:left="0"/>
              <w:rPr>
                <w:sz w:val="13"/>
              </w:rPr>
            </w:pPr>
          </w:p>
          <w:p w14:paraId="173E98F0" w14:textId="66BC6F18" w:rsidR="009D7241" w:rsidRDefault="004B03F2">
            <w:pPr>
              <w:pStyle w:val="TableParagraph"/>
              <w:ind w:left="1016"/>
              <w:rPr>
                <w:sz w:val="20"/>
              </w:rPr>
            </w:pPr>
            <w:r w:rsidRPr="004B03F2">
              <w:rPr>
                <w:noProof/>
                <w:sz w:val="20"/>
                <w:highlight w:val="yellow"/>
              </w:rPr>
              <w:t>Insert Trust Logo</w:t>
            </w:r>
          </w:p>
        </w:tc>
      </w:tr>
      <w:tr w:rsidR="009D7241" w14:paraId="360E513C" w14:textId="77777777">
        <w:trPr>
          <w:trHeight w:val="275"/>
        </w:trPr>
        <w:tc>
          <w:tcPr>
            <w:tcW w:w="5175" w:type="dxa"/>
            <w:gridSpan w:val="4"/>
            <w:tcBorders>
              <w:top w:val="single" w:sz="4" w:space="0" w:color="000000"/>
              <w:bottom w:val="single" w:sz="4" w:space="0" w:color="7D7D7D"/>
              <w:right w:val="single" w:sz="4" w:space="0" w:color="000000"/>
            </w:tcBorders>
          </w:tcPr>
          <w:p w14:paraId="13E34021" w14:textId="338682CA" w:rsidR="009D7241" w:rsidRDefault="004B03F2">
            <w:pPr>
              <w:pStyle w:val="TableParagraph"/>
              <w:spacing w:line="255" w:lineRule="exact"/>
              <w:ind w:left="820" w:right="807"/>
              <w:jc w:val="center"/>
              <w:rPr>
                <w:b/>
                <w:sz w:val="24"/>
              </w:rPr>
            </w:pPr>
            <w:r w:rsidRPr="004B03F2">
              <w:rPr>
                <w:b/>
                <w:sz w:val="24"/>
                <w:highlight w:val="yellow"/>
              </w:rPr>
              <w:t>Insert document number</w:t>
            </w:r>
          </w:p>
        </w:tc>
        <w:tc>
          <w:tcPr>
            <w:tcW w:w="4782" w:type="dxa"/>
            <w:vMerge/>
            <w:tcBorders>
              <w:top w:val="nil"/>
              <w:left w:val="single" w:sz="4" w:space="0" w:color="000000"/>
            </w:tcBorders>
          </w:tcPr>
          <w:p w14:paraId="101FFBDF" w14:textId="77777777" w:rsidR="009D7241" w:rsidRDefault="009D7241">
            <w:pPr>
              <w:rPr>
                <w:sz w:val="2"/>
                <w:szCs w:val="2"/>
              </w:rPr>
            </w:pPr>
          </w:p>
        </w:tc>
      </w:tr>
      <w:tr w:rsidR="009D7241" w14:paraId="7A2F911E" w14:textId="77777777">
        <w:trPr>
          <w:trHeight w:val="513"/>
        </w:trPr>
        <w:tc>
          <w:tcPr>
            <w:tcW w:w="1680" w:type="dxa"/>
            <w:tcBorders>
              <w:top w:val="single" w:sz="4" w:space="0" w:color="7D7D7D"/>
              <w:right w:val="nil"/>
            </w:tcBorders>
          </w:tcPr>
          <w:p w14:paraId="5E4F3F9D" w14:textId="77777777" w:rsidR="009D7241" w:rsidRDefault="004B03F2">
            <w:pPr>
              <w:pStyle w:val="TableParagraph"/>
              <w:spacing w:line="254" w:lineRule="exact"/>
              <w:ind w:left="117" w:right="227" w:firstLine="28"/>
              <w:rPr>
                <w:b/>
              </w:rPr>
            </w:pPr>
            <w:r>
              <w:rPr>
                <w:b/>
              </w:rPr>
              <w:t>Therapeutic Pharmacists</w:t>
            </w:r>
          </w:p>
        </w:tc>
        <w:tc>
          <w:tcPr>
            <w:tcW w:w="1770" w:type="dxa"/>
            <w:tcBorders>
              <w:top w:val="single" w:sz="4" w:space="0" w:color="7D7D7D"/>
              <w:left w:val="nil"/>
              <w:right w:val="nil"/>
            </w:tcBorders>
          </w:tcPr>
          <w:p w14:paraId="21485B8E" w14:textId="77777777" w:rsidR="009D7241" w:rsidRDefault="004B03F2">
            <w:pPr>
              <w:pStyle w:val="TableParagraph"/>
              <w:spacing w:line="250" w:lineRule="exact"/>
              <w:ind w:left="259"/>
              <w:rPr>
                <w:b/>
              </w:rPr>
            </w:pPr>
            <w:r>
              <w:rPr>
                <w:b/>
              </w:rPr>
              <w:t>Substitution</w:t>
            </w:r>
          </w:p>
        </w:tc>
        <w:tc>
          <w:tcPr>
            <w:tcW w:w="687" w:type="dxa"/>
            <w:tcBorders>
              <w:top w:val="single" w:sz="4" w:space="0" w:color="7D7D7D"/>
              <w:left w:val="nil"/>
              <w:right w:val="nil"/>
            </w:tcBorders>
          </w:tcPr>
          <w:p w14:paraId="6FED112D" w14:textId="77777777" w:rsidR="009D7241" w:rsidRDefault="004B03F2">
            <w:pPr>
              <w:pStyle w:val="TableParagraph"/>
              <w:spacing w:line="250" w:lineRule="exact"/>
              <w:ind w:left="238"/>
              <w:rPr>
                <w:b/>
              </w:rPr>
            </w:pPr>
            <w:r>
              <w:rPr>
                <w:b/>
              </w:rPr>
              <w:t>by</w:t>
            </w:r>
          </w:p>
        </w:tc>
        <w:tc>
          <w:tcPr>
            <w:tcW w:w="1038" w:type="dxa"/>
            <w:tcBorders>
              <w:top w:val="single" w:sz="4" w:space="0" w:color="7D7D7D"/>
              <w:left w:val="nil"/>
              <w:right w:val="single" w:sz="4" w:space="0" w:color="000000"/>
            </w:tcBorders>
          </w:tcPr>
          <w:p w14:paraId="74B8ED32" w14:textId="77777777" w:rsidR="009D7241" w:rsidRDefault="004B03F2">
            <w:pPr>
              <w:pStyle w:val="TableParagraph"/>
              <w:spacing w:line="250" w:lineRule="exact"/>
              <w:ind w:left="204"/>
              <w:rPr>
                <w:b/>
              </w:rPr>
            </w:pPr>
            <w:r>
              <w:rPr>
                <w:b/>
              </w:rPr>
              <w:t>Clinical</w:t>
            </w:r>
          </w:p>
        </w:tc>
        <w:tc>
          <w:tcPr>
            <w:tcW w:w="4782" w:type="dxa"/>
            <w:vMerge/>
            <w:tcBorders>
              <w:top w:val="nil"/>
              <w:left w:val="single" w:sz="4" w:space="0" w:color="000000"/>
            </w:tcBorders>
          </w:tcPr>
          <w:p w14:paraId="75708F1F" w14:textId="77777777" w:rsidR="009D7241" w:rsidRDefault="009D7241">
            <w:pPr>
              <w:rPr>
                <w:sz w:val="2"/>
                <w:szCs w:val="2"/>
              </w:rPr>
            </w:pPr>
          </w:p>
        </w:tc>
      </w:tr>
    </w:tbl>
    <w:p w14:paraId="0DDF2BA8" w14:textId="77777777" w:rsidR="009D7241" w:rsidRDefault="009D7241">
      <w:pPr>
        <w:pStyle w:val="BodyText"/>
        <w:spacing w:before="10"/>
        <w:rPr>
          <w:sz w:val="15"/>
        </w:rPr>
      </w:pPr>
    </w:p>
    <w:p w14:paraId="459A73F8" w14:textId="49E634D2" w:rsidR="009D7241" w:rsidRDefault="004B03F2">
      <w:pPr>
        <w:pStyle w:val="Heading2"/>
        <w:spacing w:before="92"/>
        <w:ind w:right="1546"/>
      </w:pPr>
      <w:r>
        <w:t xml:space="preserve">Appendix A: List of approved therapeutic substitutions which may be made by Clinical Pharmacists without further referral (Accurate as </w:t>
      </w:r>
      <w:r w:rsidR="006F0F87" w:rsidRPr="006F0F87">
        <w:rPr>
          <w:highlight w:val="yellow"/>
        </w:rPr>
        <w:t xml:space="preserve">Insert </w:t>
      </w:r>
      <w:proofErr w:type="gramStart"/>
      <w:r w:rsidR="006F0F87" w:rsidRPr="006F0F87">
        <w:rPr>
          <w:highlight w:val="yellow"/>
        </w:rPr>
        <w:t>date</w:t>
      </w:r>
      <w:r>
        <w:t xml:space="preserve"> )</w:t>
      </w:r>
      <w:proofErr w:type="gramEnd"/>
    </w:p>
    <w:p w14:paraId="515FC3D0" w14:textId="77777777" w:rsidR="009D7241" w:rsidRDefault="009D7241">
      <w:pPr>
        <w:pStyle w:val="BodyText"/>
        <w:spacing w:before="7"/>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5"/>
        <w:gridCol w:w="1759"/>
        <w:gridCol w:w="1843"/>
        <w:gridCol w:w="2409"/>
        <w:gridCol w:w="2692"/>
      </w:tblGrid>
      <w:tr w:rsidR="009D7241" w14:paraId="2887C661" w14:textId="77777777">
        <w:trPr>
          <w:trHeight w:val="1187"/>
        </w:trPr>
        <w:tc>
          <w:tcPr>
            <w:tcW w:w="2035" w:type="dxa"/>
            <w:shd w:val="clear" w:color="auto" w:fill="4F81BC"/>
          </w:tcPr>
          <w:p w14:paraId="61E7F0C8" w14:textId="77777777" w:rsidR="009D7241" w:rsidRDefault="004B03F2">
            <w:pPr>
              <w:pStyle w:val="TableParagraph"/>
              <w:spacing w:line="231" w:lineRule="exact"/>
              <w:ind w:left="210"/>
              <w:rPr>
                <w:b/>
                <w:sz w:val="24"/>
              </w:rPr>
            </w:pPr>
            <w:r>
              <w:rPr>
                <w:b/>
                <w:color w:val="FFFFFF"/>
                <w:sz w:val="24"/>
              </w:rPr>
              <w:t>Drug</w:t>
            </w:r>
          </w:p>
        </w:tc>
        <w:tc>
          <w:tcPr>
            <w:tcW w:w="1759" w:type="dxa"/>
            <w:shd w:val="clear" w:color="auto" w:fill="4F81BC"/>
          </w:tcPr>
          <w:p w14:paraId="1A0D09EA" w14:textId="77777777" w:rsidR="009D7241" w:rsidRDefault="004B03F2">
            <w:pPr>
              <w:pStyle w:val="TableParagraph"/>
              <w:ind w:left="213" w:right="368"/>
              <w:rPr>
                <w:b/>
                <w:sz w:val="24"/>
              </w:rPr>
            </w:pPr>
            <w:r>
              <w:rPr>
                <w:b/>
                <w:color w:val="FFFFFF"/>
                <w:sz w:val="24"/>
              </w:rPr>
              <w:t>Dose/ frequency</w:t>
            </w:r>
          </w:p>
        </w:tc>
        <w:tc>
          <w:tcPr>
            <w:tcW w:w="1843" w:type="dxa"/>
            <w:shd w:val="clear" w:color="auto" w:fill="4F81BC"/>
          </w:tcPr>
          <w:p w14:paraId="01422702" w14:textId="77777777" w:rsidR="009D7241" w:rsidRDefault="004B03F2">
            <w:pPr>
              <w:pStyle w:val="TableParagraph"/>
              <w:ind w:left="211" w:right="272"/>
              <w:rPr>
                <w:b/>
                <w:sz w:val="24"/>
              </w:rPr>
            </w:pPr>
            <w:r>
              <w:rPr>
                <w:b/>
                <w:color w:val="FFFFFF"/>
                <w:sz w:val="24"/>
              </w:rPr>
              <w:t xml:space="preserve">Approved </w:t>
            </w:r>
            <w:r>
              <w:rPr>
                <w:b/>
                <w:color w:val="FFFFFF"/>
                <w:w w:val="95"/>
                <w:sz w:val="24"/>
              </w:rPr>
              <w:t>Substitution</w:t>
            </w:r>
          </w:p>
        </w:tc>
        <w:tc>
          <w:tcPr>
            <w:tcW w:w="2409" w:type="dxa"/>
            <w:shd w:val="clear" w:color="auto" w:fill="4F81BC"/>
          </w:tcPr>
          <w:p w14:paraId="61DF38C3" w14:textId="77777777" w:rsidR="009D7241" w:rsidRDefault="004B03F2">
            <w:pPr>
              <w:pStyle w:val="TableParagraph"/>
              <w:spacing w:line="231" w:lineRule="exact"/>
              <w:ind w:left="213"/>
              <w:rPr>
                <w:b/>
                <w:sz w:val="24"/>
              </w:rPr>
            </w:pPr>
            <w:r>
              <w:rPr>
                <w:b/>
                <w:color w:val="FFFFFF"/>
                <w:sz w:val="24"/>
              </w:rPr>
              <w:t>Dose/Frequency</w:t>
            </w:r>
          </w:p>
        </w:tc>
        <w:tc>
          <w:tcPr>
            <w:tcW w:w="2692" w:type="dxa"/>
            <w:shd w:val="clear" w:color="auto" w:fill="4F81BC"/>
          </w:tcPr>
          <w:p w14:paraId="4B918428" w14:textId="77777777" w:rsidR="009D7241" w:rsidRDefault="004B03F2">
            <w:pPr>
              <w:pStyle w:val="TableParagraph"/>
              <w:spacing w:line="231" w:lineRule="exact"/>
              <w:ind w:left="212"/>
              <w:rPr>
                <w:b/>
                <w:sz w:val="24"/>
              </w:rPr>
            </w:pPr>
            <w:r>
              <w:rPr>
                <w:b/>
                <w:color w:val="FFFFFF"/>
                <w:sz w:val="24"/>
              </w:rPr>
              <w:t>Rationale/Notes</w:t>
            </w:r>
          </w:p>
        </w:tc>
      </w:tr>
      <w:tr w:rsidR="006F0F87" w14:paraId="3DA8489B" w14:textId="77777777" w:rsidTr="00E933AE">
        <w:trPr>
          <w:trHeight w:val="1772"/>
        </w:trPr>
        <w:tc>
          <w:tcPr>
            <w:tcW w:w="10738" w:type="dxa"/>
            <w:gridSpan w:val="5"/>
            <w:tcBorders>
              <w:bottom w:val="nil"/>
            </w:tcBorders>
          </w:tcPr>
          <w:p w14:paraId="64E844E7" w14:textId="1B5EA214" w:rsidR="006F0F87" w:rsidRPr="006F0F87" w:rsidRDefault="006F0F87">
            <w:pPr>
              <w:pStyle w:val="TableParagraph"/>
              <w:ind w:right="219"/>
              <w:rPr>
                <w:b/>
                <w:highlight w:val="yellow"/>
              </w:rPr>
            </w:pPr>
            <w:r w:rsidRPr="006F0F87">
              <w:rPr>
                <w:b/>
                <w:highlight w:val="yellow"/>
              </w:rPr>
              <w:t>Example therapeutic switches which offer sustainable benefits: list is not exhaustive: complete with medications and undertake correct trust medication governance procedure</w:t>
            </w:r>
          </w:p>
        </w:tc>
      </w:tr>
      <w:tr w:rsidR="009D7241" w14:paraId="53FEC173" w14:textId="77777777">
        <w:trPr>
          <w:trHeight w:val="1772"/>
        </w:trPr>
        <w:tc>
          <w:tcPr>
            <w:tcW w:w="2035" w:type="dxa"/>
            <w:tcBorders>
              <w:bottom w:val="nil"/>
            </w:tcBorders>
          </w:tcPr>
          <w:p w14:paraId="46181B3B" w14:textId="77777777" w:rsidR="009D7241" w:rsidRPr="006F0F87" w:rsidRDefault="004B03F2">
            <w:pPr>
              <w:pStyle w:val="TableParagraph"/>
              <w:ind w:left="107"/>
              <w:rPr>
                <w:b/>
                <w:highlight w:val="yellow"/>
              </w:rPr>
            </w:pPr>
            <w:r w:rsidRPr="006F0F87">
              <w:rPr>
                <w:b/>
                <w:highlight w:val="yellow"/>
              </w:rPr>
              <w:t>Paracetamol IV injection</w:t>
            </w:r>
          </w:p>
        </w:tc>
        <w:tc>
          <w:tcPr>
            <w:tcW w:w="1759" w:type="dxa"/>
            <w:tcBorders>
              <w:bottom w:val="nil"/>
            </w:tcBorders>
          </w:tcPr>
          <w:p w14:paraId="25D96D78" w14:textId="77777777" w:rsidR="009D7241" w:rsidRPr="006F0F87" w:rsidRDefault="004B03F2">
            <w:pPr>
              <w:pStyle w:val="TableParagraph"/>
              <w:rPr>
                <w:highlight w:val="yellow"/>
              </w:rPr>
            </w:pPr>
            <w:r w:rsidRPr="006F0F87">
              <w:rPr>
                <w:highlight w:val="yellow"/>
              </w:rPr>
              <w:t>Various</w:t>
            </w:r>
          </w:p>
        </w:tc>
        <w:tc>
          <w:tcPr>
            <w:tcW w:w="1843" w:type="dxa"/>
            <w:tcBorders>
              <w:bottom w:val="nil"/>
            </w:tcBorders>
          </w:tcPr>
          <w:p w14:paraId="21494F91" w14:textId="77777777" w:rsidR="009D7241" w:rsidRPr="006F0F87" w:rsidRDefault="004B03F2">
            <w:pPr>
              <w:pStyle w:val="TableParagraph"/>
              <w:ind w:right="261"/>
              <w:rPr>
                <w:highlight w:val="yellow"/>
              </w:rPr>
            </w:pPr>
            <w:r w:rsidRPr="006F0F87">
              <w:rPr>
                <w:highlight w:val="yellow"/>
              </w:rPr>
              <w:t>Paracetamol 500mg tablets, 500mg dispersible tablets or</w:t>
            </w:r>
          </w:p>
          <w:p w14:paraId="147E1F48" w14:textId="77777777" w:rsidR="009D7241" w:rsidRPr="006F0F87" w:rsidRDefault="004B03F2">
            <w:pPr>
              <w:pStyle w:val="TableParagraph"/>
              <w:spacing w:before="4" w:line="252" w:lineRule="exact"/>
              <w:ind w:right="616"/>
              <w:rPr>
                <w:highlight w:val="yellow"/>
              </w:rPr>
            </w:pPr>
            <w:r w:rsidRPr="006F0F87">
              <w:rPr>
                <w:highlight w:val="yellow"/>
              </w:rPr>
              <w:t>250mg/5ml liquid</w:t>
            </w:r>
          </w:p>
        </w:tc>
        <w:tc>
          <w:tcPr>
            <w:tcW w:w="2409" w:type="dxa"/>
            <w:tcBorders>
              <w:bottom w:val="nil"/>
            </w:tcBorders>
          </w:tcPr>
          <w:p w14:paraId="4582CA13" w14:textId="77777777" w:rsidR="009D7241" w:rsidRPr="006F0F87" w:rsidRDefault="004B03F2">
            <w:pPr>
              <w:pStyle w:val="TableParagraph"/>
              <w:rPr>
                <w:highlight w:val="yellow"/>
              </w:rPr>
            </w:pPr>
            <w:r w:rsidRPr="006F0F87">
              <w:rPr>
                <w:highlight w:val="yellow"/>
              </w:rPr>
              <w:t>Equivalent dose</w:t>
            </w:r>
          </w:p>
          <w:p w14:paraId="458F083A" w14:textId="77777777" w:rsidR="009D7241" w:rsidRPr="006F0F87" w:rsidRDefault="009D7241">
            <w:pPr>
              <w:pStyle w:val="TableParagraph"/>
              <w:spacing w:before="9"/>
              <w:ind w:left="0"/>
              <w:rPr>
                <w:b/>
                <w:sz w:val="21"/>
                <w:highlight w:val="yellow"/>
              </w:rPr>
            </w:pPr>
          </w:p>
          <w:p w14:paraId="1B3B844C" w14:textId="77777777" w:rsidR="009D7241" w:rsidRPr="006F0F87" w:rsidRDefault="004B03F2">
            <w:pPr>
              <w:pStyle w:val="TableParagraph"/>
              <w:ind w:right="290"/>
              <w:rPr>
                <w:i/>
                <w:highlight w:val="yellow"/>
              </w:rPr>
            </w:pPr>
            <w:r w:rsidRPr="006F0F87">
              <w:rPr>
                <w:b/>
                <w:i/>
                <w:highlight w:val="yellow"/>
              </w:rPr>
              <w:t xml:space="preserve">Do not </w:t>
            </w:r>
            <w:r w:rsidRPr="006F0F87">
              <w:rPr>
                <w:i/>
                <w:highlight w:val="yellow"/>
              </w:rPr>
              <w:t>switch the following patients without prior discussion:</w:t>
            </w:r>
          </w:p>
        </w:tc>
        <w:tc>
          <w:tcPr>
            <w:tcW w:w="2692" w:type="dxa"/>
            <w:tcBorders>
              <w:bottom w:val="nil"/>
            </w:tcBorders>
          </w:tcPr>
          <w:p w14:paraId="554F0850" w14:textId="77777777" w:rsidR="009D7241" w:rsidRPr="006F0F87" w:rsidRDefault="004B03F2">
            <w:pPr>
              <w:pStyle w:val="TableParagraph"/>
              <w:ind w:right="219"/>
              <w:rPr>
                <w:b/>
                <w:highlight w:val="yellow"/>
              </w:rPr>
            </w:pPr>
            <w:r w:rsidRPr="006F0F87">
              <w:rPr>
                <w:b/>
                <w:highlight w:val="yellow"/>
              </w:rPr>
              <w:t>Approved by DTC in patients without swallowing difficulties</w:t>
            </w:r>
          </w:p>
        </w:tc>
      </w:tr>
      <w:tr w:rsidR="009D7241" w14:paraId="4F413E50" w14:textId="77777777">
        <w:trPr>
          <w:trHeight w:val="2188"/>
        </w:trPr>
        <w:tc>
          <w:tcPr>
            <w:tcW w:w="2035" w:type="dxa"/>
            <w:tcBorders>
              <w:top w:val="nil"/>
            </w:tcBorders>
          </w:tcPr>
          <w:p w14:paraId="6F503131" w14:textId="77777777" w:rsidR="009D7241" w:rsidRPr="006F0F87" w:rsidRDefault="009D7241">
            <w:pPr>
              <w:pStyle w:val="TableParagraph"/>
              <w:ind w:left="0"/>
              <w:rPr>
                <w:rFonts w:ascii="Times New Roman"/>
                <w:sz w:val="20"/>
                <w:highlight w:val="yellow"/>
              </w:rPr>
            </w:pPr>
          </w:p>
        </w:tc>
        <w:tc>
          <w:tcPr>
            <w:tcW w:w="1759" w:type="dxa"/>
            <w:tcBorders>
              <w:top w:val="nil"/>
            </w:tcBorders>
          </w:tcPr>
          <w:p w14:paraId="727C0B86" w14:textId="77777777" w:rsidR="009D7241" w:rsidRPr="006F0F87" w:rsidRDefault="009D7241">
            <w:pPr>
              <w:pStyle w:val="TableParagraph"/>
              <w:ind w:left="0"/>
              <w:rPr>
                <w:rFonts w:ascii="Times New Roman"/>
                <w:sz w:val="20"/>
                <w:highlight w:val="yellow"/>
              </w:rPr>
            </w:pPr>
          </w:p>
        </w:tc>
        <w:tc>
          <w:tcPr>
            <w:tcW w:w="1843" w:type="dxa"/>
            <w:tcBorders>
              <w:top w:val="nil"/>
            </w:tcBorders>
          </w:tcPr>
          <w:p w14:paraId="1BD31515" w14:textId="77777777" w:rsidR="009D7241" w:rsidRPr="006F0F87" w:rsidRDefault="009D7241">
            <w:pPr>
              <w:pStyle w:val="TableParagraph"/>
              <w:ind w:left="0"/>
              <w:rPr>
                <w:rFonts w:ascii="Times New Roman"/>
                <w:sz w:val="20"/>
                <w:highlight w:val="yellow"/>
              </w:rPr>
            </w:pPr>
          </w:p>
        </w:tc>
        <w:tc>
          <w:tcPr>
            <w:tcW w:w="2409" w:type="dxa"/>
            <w:tcBorders>
              <w:top w:val="nil"/>
            </w:tcBorders>
          </w:tcPr>
          <w:p w14:paraId="0BDC94C8" w14:textId="77777777" w:rsidR="009D7241" w:rsidRPr="006F0F87" w:rsidRDefault="004B03F2">
            <w:pPr>
              <w:pStyle w:val="TableParagraph"/>
              <w:ind w:right="204"/>
              <w:rPr>
                <w:i/>
                <w:highlight w:val="yellow"/>
              </w:rPr>
            </w:pPr>
            <w:r w:rsidRPr="006F0F87">
              <w:rPr>
                <w:i/>
                <w:highlight w:val="yellow"/>
              </w:rPr>
              <w:t>if patient is not taking any other enteral medication, and</w:t>
            </w:r>
          </w:p>
          <w:p w14:paraId="28448171" w14:textId="77777777" w:rsidR="009D7241" w:rsidRPr="006F0F87" w:rsidRDefault="004B03F2">
            <w:pPr>
              <w:pStyle w:val="TableParagraph"/>
              <w:ind w:right="265"/>
              <w:rPr>
                <w:i/>
                <w:highlight w:val="yellow"/>
              </w:rPr>
            </w:pPr>
            <w:r w:rsidRPr="006F0F87">
              <w:rPr>
                <w:i/>
                <w:highlight w:val="yellow"/>
              </w:rPr>
              <w:t xml:space="preserve">if enteral absorption may be reduced </w:t>
            </w:r>
            <w:proofErr w:type="gramStart"/>
            <w:r w:rsidRPr="006F0F87">
              <w:rPr>
                <w:i/>
                <w:highlight w:val="yellow"/>
              </w:rPr>
              <w:t>e.g.</w:t>
            </w:r>
            <w:proofErr w:type="gramEnd"/>
            <w:r w:rsidRPr="006F0F87">
              <w:rPr>
                <w:i/>
                <w:highlight w:val="yellow"/>
              </w:rPr>
              <w:t xml:space="preserve"> GI bleeds, bowel obstructions, severe diarrhea.</w:t>
            </w:r>
          </w:p>
        </w:tc>
        <w:tc>
          <w:tcPr>
            <w:tcW w:w="2692" w:type="dxa"/>
            <w:tcBorders>
              <w:top w:val="nil"/>
            </w:tcBorders>
          </w:tcPr>
          <w:p w14:paraId="67269C26" w14:textId="77777777" w:rsidR="009D7241" w:rsidRPr="006F0F87" w:rsidRDefault="009D7241">
            <w:pPr>
              <w:pStyle w:val="TableParagraph"/>
              <w:ind w:left="0"/>
              <w:rPr>
                <w:rFonts w:ascii="Times New Roman"/>
                <w:sz w:val="20"/>
                <w:highlight w:val="yellow"/>
              </w:rPr>
            </w:pPr>
          </w:p>
        </w:tc>
      </w:tr>
      <w:tr w:rsidR="009D7241" w14:paraId="61BCD6E9" w14:textId="77777777">
        <w:trPr>
          <w:trHeight w:val="886"/>
        </w:trPr>
        <w:tc>
          <w:tcPr>
            <w:tcW w:w="2035" w:type="dxa"/>
            <w:tcBorders>
              <w:bottom w:val="nil"/>
            </w:tcBorders>
          </w:tcPr>
          <w:p w14:paraId="722E9683" w14:textId="77777777" w:rsidR="009D7241" w:rsidRPr="006F0F87" w:rsidRDefault="004B03F2">
            <w:pPr>
              <w:pStyle w:val="TableParagraph"/>
              <w:ind w:left="107" w:right="651"/>
              <w:rPr>
                <w:b/>
                <w:highlight w:val="yellow"/>
              </w:rPr>
            </w:pPr>
            <w:r w:rsidRPr="006F0F87">
              <w:rPr>
                <w:b/>
                <w:highlight w:val="yellow"/>
              </w:rPr>
              <w:t>Cyclizine intravenous injection</w:t>
            </w:r>
          </w:p>
        </w:tc>
        <w:tc>
          <w:tcPr>
            <w:tcW w:w="1759" w:type="dxa"/>
            <w:tcBorders>
              <w:bottom w:val="nil"/>
            </w:tcBorders>
          </w:tcPr>
          <w:p w14:paraId="00510D5D" w14:textId="77777777" w:rsidR="009D7241" w:rsidRPr="006F0F87" w:rsidRDefault="004B03F2">
            <w:pPr>
              <w:pStyle w:val="TableParagraph"/>
              <w:spacing w:line="250" w:lineRule="exact"/>
              <w:rPr>
                <w:highlight w:val="yellow"/>
              </w:rPr>
            </w:pPr>
            <w:r w:rsidRPr="006F0F87">
              <w:rPr>
                <w:highlight w:val="yellow"/>
              </w:rPr>
              <w:t>50mg TDS prn</w:t>
            </w:r>
          </w:p>
        </w:tc>
        <w:tc>
          <w:tcPr>
            <w:tcW w:w="1843" w:type="dxa"/>
            <w:tcBorders>
              <w:bottom w:val="nil"/>
            </w:tcBorders>
          </w:tcPr>
          <w:p w14:paraId="407A604F" w14:textId="77777777" w:rsidR="009D7241" w:rsidRPr="006F0F87" w:rsidRDefault="004B03F2">
            <w:pPr>
              <w:pStyle w:val="TableParagraph"/>
              <w:ind w:right="396"/>
              <w:rPr>
                <w:highlight w:val="yellow"/>
              </w:rPr>
            </w:pPr>
            <w:r w:rsidRPr="006F0F87">
              <w:rPr>
                <w:highlight w:val="yellow"/>
              </w:rPr>
              <w:t>Cyclizine oral tablet</w:t>
            </w:r>
          </w:p>
        </w:tc>
        <w:tc>
          <w:tcPr>
            <w:tcW w:w="2409" w:type="dxa"/>
            <w:tcBorders>
              <w:bottom w:val="nil"/>
            </w:tcBorders>
          </w:tcPr>
          <w:p w14:paraId="31CD8108" w14:textId="77777777" w:rsidR="009D7241" w:rsidRPr="006F0F87" w:rsidRDefault="004B03F2">
            <w:pPr>
              <w:pStyle w:val="TableParagraph"/>
              <w:spacing w:line="250" w:lineRule="exact"/>
              <w:rPr>
                <w:highlight w:val="yellow"/>
              </w:rPr>
            </w:pPr>
            <w:r w:rsidRPr="006F0F87">
              <w:rPr>
                <w:highlight w:val="yellow"/>
              </w:rPr>
              <w:t>50mg TDS prn</w:t>
            </w:r>
          </w:p>
          <w:p w14:paraId="33DBD8F6" w14:textId="77777777" w:rsidR="009D7241" w:rsidRPr="006F0F87" w:rsidRDefault="009D7241">
            <w:pPr>
              <w:pStyle w:val="TableParagraph"/>
              <w:ind w:left="0"/>
              <w:rPr>
                <w:b/>
                <w:highlight w:val="yellow"/>
              </w:rPr>
            </w:pPr>
          </w:p>
          <w:p w14:paraId="141F3308" w14:textId="77777777" w:rsidR="009D7241" w:rsidRPr="006F0F87" w:rsidRDefault="004B03F2">
            <w:pPr>
              <w:pStyle w:val="TableParagraph"/>
              <w:rPr>
                <w:highlight w:val="yellow"/>
              </w:rPr>
            </w:pPr>
            <w:r w:rsidRPr="006F0F87">
              <w:rPr>
                <w:highlight w:val="yellow"/>
              </w:rPr>
              <w:t>Equivalent dose</w:t>
            </w:r>
          </w:p>
        </w:tc>
        <w:tc>
          <w:tcPr>
            <w:tcW w:w="2692" w:type="dxa"/>
            <w:tcBorders>
              <w:bottom w:val="nil"/>
            </w:tcBorders>
          </w:tcPr>
          <w:p w14:paraId="0BF56F55" w14:textId="77777777" w:rsidR="009D7241" w:rsidRPr="006F0F87" w:rsidRDefault="004B03F2">
            <w:pPr>
              <w:pStyle w:val="TableParagraph"/>
              <w:ind w:right="378"/>
              <w:rPr>
                <w:b/>
                <w:highlight w:val="yellow"/>
              </w:rPr>
            </w:pPr>
            <w:r w:rsidRPr="006F0F87">
              <w:rPr>
                <w:b/>
                <w:highlight w:val="yellow"/>
              </w:rPr>
              <w:t>As clinically appropriate and cost saving.</w:t>
            </w:r>
          </w:p>
        </w:tc>
      </w:tr>
      <w:tr w:rsidR="009D7241" w14:paraId="146AF473" w14:textId="77777777">
        <w:trPr>
          <w:trHeight w:val="1264"/>
        </w:trPr>
        <w:tc>
          <w:tcPr>
            <w:tcW w:w="2035" w:type="dxa"/>
            <w:tcBorders>
              <w:top w:val="nil"/>
              <w:bottom w:val="nil"/>
            </w:tcBorders>
          </w:tcPr>
          <w:p w14:paraId="248D89FA" w14:textId="77777777" w:rsidR="009D7241" w:rsidRPr="006F0F87" w:rsidRDefault="009D7241">
            <w:pPr>
              <w:pStyle w:val="TableParagraph"/>
              <w:ind w:left="0"/>
              <w:rPr>
                <w:rFonts w:ascii="Times New Roman"/>
                <w:sz w:val="20"/>
                <w:highlight w:val="yellow"/>
              </w:rPr>
            </w:pPr>
          </w:p>
        </w:tc>
        <w:tc>
          <w:tcPr>
            <w:tcW w:w="1759" w:type="dxa"/>
            <w:tcBorders>
              <w:top w:val="nil"/>
              <w:bottom w:val="nil"/>
            </w:tcBorders>
          </w:tcPr>
          <w:p w14:paraId="64F313C9" w14:textId="77777777" w:rsidR="009D7241" w:rsidRPr="006F0F87" w:rsidRDefault="009D7241">
            <w:pPr>
              <w:pStyle w:val="TableParagraph"/>
              <w:ind w:left="0"/>
              <w:rPr>
                <w:rFonts w:ascii="Times New Roman"/>
                <w:sz w:val="20"/>
                <w:highlight w:val="yellow"/>
              </w:rPr>
            </w:pPr>
          </w:p>
        </w:tc>
        <w:tc>
          <w:tcPr>
            <w:tcW w:w="1843" w:type="dxa"/>
            <w:tcBorders>
              <w:top w:val="nil"/>
              <w:bottom w:val="nil"/>
            </w:tcBorders>
          </w:tcPr>
          <w:p w14:paraId="5C4AE94C" w14:textId="77777777" w:rsidR="009D7241" w:rsidRPr="006F0F87" w:rsidRDefault="009D7241">
            <w:pPr>
              <w:pStyle w:val="TableParagraph"/>
              <w:ind w:left="0"/>
              <w:rPr>
                <w:rFonts w:ascii="Times New Roman"/>
                <w:sz w:val="20"/>
                <w:highlight w:val="yellow"/>
              </w:rPr>
            </w:pPr>
          </w:p>
        </w:tc>
        <w:tc>
          <w:tcPr>
            <w:tcW w:w="2409" w:type="dxa"/>
            <w:tcBorders>
              <w:top w:val="nil"/>
              <w:bottom w:val="nil"/>
            </w:tcBorders>
          </w:tcPr>
          <w:p w14:paraId="40E4FC4D" w14:textId="77777777" w:rsidR="009D7241" w:rsidRPr="006F0F87" w:rsidRDefault="004B03F2">
            <w:pPr>
              <w:pStyle w:val="TableParagraph"/>
              <w:spacing w:before="123"/>
              <w:rPr>
                <w:i/>
                <w:highlight w:val="yellow"/>
              </w:rPr>
            </w:pPr>
            <w:r w:rsidRPr="006F0F87">
              <w:rPr>
                <w:b/>
                <w:i/>
                <w:highlight w:val="yellow"/>
              </w:rPr>
              <w:t xml:space="preserve">Do not </w:t>
            </w:r>
            <w:r w:rsidRPr="006F0F87">
              <w:rPr>
                <w:i/>
                <w:highlight w:val="yellow"/>
              </w:rPr>
              <w:t>switch the following patients Without prior discussion:</w:t>
            </w:r>
          </w:p>
        </w:tc>
        <w:tc>
          <w:tcPr>
            <w:tcW w:w="2692" w:type="dxa"/>
            <w:tcBorders>
              <w:top w:val="nil"/>
              <w:bottom w:val="nil"/>
            </w:tcBorders>
          </w:tcPr>
          <w:p w14:paraId="2BAFDAD5" w14:textId="77777777" w:rsidR="009D7241" w:rsidRPr="006F0F87" w:rsidRDefault="009D7241">
            <w:pPr>
              <w:pStyle w:val="TableParagraph"/>
              <w:ind w:left="0"/>
              <w:rPr>
                <w:rFonts w:ascii="Times New Roman"/>
                <w:sz w:val="20"/>
                <w:highlight w:val="yellow"/>
              </w:rPr>
            </w:pPr>
          </w:p>
        </w:tc>
      </w:tr>
      <w:tr w:rsidR="009D7241" w14:paraId="47090F0C" w14:textId="77777777">
        <w:trPr>
          <w:trHeight w:val="2223"/>
        </w:trPr>
        <w:tc>
          <w:tcPr>
            <w:tcW w:w="2035" w:type="dxa"/>
            <w:tcBorders>
              <w:top w:val="nil"/>
            </w:tcBorders>
          </w:tcPr>
          <w:p w14:paraId="663095CC" w14:textId="77777777" w:rsidR="009D7241" w:rsidRPr="006F0F87" w:rsidRDefault="009D7241">
            <w:pPr>
              <w:pStyle w:val="TableParagraph"/>
              <w:ind w:left="0"/>
              <w:rPr>
                <w:rFonts w:ascii="Times New Roman"/>
                <w:sz w:val="20"/>
                <w:highlight w:val="yellow"/>
              </w:rPr>
            </w:pPr>
          </w:p>
        </w:tc>
        <w:tc>
          <w:tcPr>
            <w:tcW w:w="1759" w:type="dxa"/>
            <w:tcBorders>
              <w:top w:val="nil"/>
            </w:tcBorders>
          </w:tcPr>
          <w:p w14:paraId="70EFB1E3" w14:textId="77777777" w:rsidR="009D7241" w:rsidRPr="006F0F87" w:rsidRDefault="009D7241">
            <w:pPr>
              <w:pStyle w:val="TableParagraph"/>
              <w:ind w:left="0"/>
              <w:rPr>
                <w:rFonts w:ascii="Times New Roman"/>
                <w:sz w:val="20"/>
                <w:highlight w:val="yellow"/>
              </w:rPr>
            </w:pPr>
          </w:p>
        </w:tc>
        <w:tc>
          <w:tcPr>
            <w:tcW w:w="1843" w:type="dxa"/>
            <w:tcBorders>
              <w:top w:val="nil"/>
            </w:tcBorders>
          </w:tcPr>
          <w:p w14:paraId="36883831" w14:textId="77777777" w:rsidR="009D7241" w:rsidRPr="006F0F87" w:rsidRDefault="009D7241">
            <w:pPr>
              <w:pStyle w:val="TableParagraph"/>
              <w:ind w:left="0"/>
              <w:rPr>
                <w:rFonts w:ascii="Times New Roman"/>
                <w:sz w:val="20"/>
                <w:highlight w:val="yellow"/>
              </w:rPr>
            </w:pPr>
          </w:p>
        </w:tc>
        <w:tc>
          <w:tcPr>
            <w:tcW w:w="2409" w:type="dxa"/>
            <w:tcBorders>
              <w:top w:val="nil"/>
            </w:tcBorders>
          </w:tcPr>
          <w:p w14:paraId="22E08AD7" w14:textId="77777777" w:rsidR="009D7241" w:rsidRPr="006F0F87" w:rsidRDefault="004B03F2">
            <w:pPr>
              <w:pStyle w:val="TableParagraph"/>
              <w:spacing w:before="123"/>
              <w:ind w:right="204"/>
              <w:rPr>
                <w:i/>
                <w:highlight w:val="yellow"/>
              </w:rPr>
            </w:pPr>
            <w:r w:rsidRPr="006F0F87">
              <w:rPr>
                <w:i/>
                <w:highlight w:val="yellow"/>
              </w:rPr>
              <w:t>if patient is not taking any other enteral medication, and</w:t>
            </w:r>
          </w:p>
          <w:p w14:paraId="1B3B282F" w14:textId="77777777" w:rsidR="009D7241" w:rsidRPr="006F0F87" w:rsidRDefault="004B03F2">
            <w:pPr>
              <w:pStyle w:val="TableParagraph"/>
              <w:ind w:right="265"/>
              <w:rPr>
                <w:i/>
                <w:highlight w:val="yellow"/>
              </w:rPr>
            </w:pPr>
            <w:r w:rsidRPr="006F0F87">
              <w:rPr>
                <w:i/>
                <w:highlight w:val="yellow"/>
              </w:rPr>
              <w:t xml:space="preserve">if enteral absorption may be reduced </w:t>
            </w:r>
            <w:proofErr w:type="gramStart"/>
            <w:r w:rsidRPr="006F0F87">
              <w:rPr>
                <w:i/>
                <w:highlight w:val="yellow"/>
              </w:rPr>
              <w:t>e.g.</w:t>
            </w:r>
            <w:proofErr w:type="gramEnd"/>
            <w:r w:rsidRPr="006F0F87">
              <w:rPr>
                <w:i/>
                <w:highlight w:val="yellow"/>
              </w:rPr>
              <w:t xml:space="preserve"> GI bleeds, bowel obstructions, severe </w:t>
            </w:r>
            <w:proofErr w:type="spellStart"/>
            <w:r w:rsidRPr="006F0F87">
              <w:rPr>
                <w:i/>
                <w:highlight w:val="yellow"/>
              </w:rPr>
              <w:t>diarrhoea</w:t>
            </w:r>
            <w:proofErr w:type="spellEnd"/>
          </w:p>
        </w:tc>
        <w:tc>
          <w:tcPr>
            <w:tcW w:w="2692" w:type="dxa"/>
            <w:tcBorders>
              <w:top w:val="nil"/>
            </w:tcBorders>
          </w:tcPr>
          <w:p w14:paraId="478150E4" w14:textId="77777777" w:rsidR="009D7241" w:rsidRPr="006F0F87" w:rsidRDefault="009D7241">
            <w:pPr>
              <w:pStyle w:val="TableParagraph"/>
              <w:ind w:left="0"/>
              <w:rPr>
                <w:rFonts w:ascii="Times New Roman"/>
                <w:sz w:val="20"/>
                <w:highlight w:val="yellow"/>
              </w:rPr>
            </w:pPr>
          </w:p>
        </w:tc>
      </w:tr>
      <w:tr w:rsidR="009D7241" w14:paraId="660721F7" w14:textId="77777777">
        <w:trPr>
          <w:trHeight w:val="886"/>
        </w:trPr>
        <w:tc>
          <w:tcPr>
            <w:tcW w:w="2035" w:type="dxa"/>
            <w:tcBorders>
              <w:bottom w:val="nil"/>
            </w:tcBorders>
          </w:tcPr>
          <w:p w14:paraId="056CB935" w14:textId="77777777" w:rsidR="009D7241" w:rsidRPr="006F0F87" w:rsidRDefault="004B03F2">
            <w:pPr>
              <w:pStyle w:val="TableParagraph"/>
              <w:spacing w:line="250" w:lineRule="exact"/>
              <w:ind w:left="107"/>
              <w:rPr>
                <w:b/>
                <w:highlight w:val="yellow"/>
              </w:rPr>
            </w:pPr>
            <w:r w:rsidRPr="006F0F87">
              <w:rPr>
                <w:b/>
                <w:highlight w:val="yellow"/>
              </w:rPr>
              <w:t>Nitrofurantoin</w:t>
            </w:r>
          </w:p>
        </w:tc>
        <w:tc>
          <w:tcPr>
            <w:tcW w:w="1759" w:type="dxa"/>
            <w:tcBorders>
              <w:bottom w:val="nil"/>
            </w:tcBorders>
          </w:tcPr>
          <w:p w14:paraId="3709EC63" w14:textId="77777777" w:rsidR="009D7241" w:rsidRPr="006F0F87" w:rsidRDefault="004B03F2">
            <w:pPr>
              <w:pStyle w:val="TableParagraph"/>
              <w:rPr>
                <w:highlight w:val="yellow"/>
              </w:rPr>
            </w:pPr>
            <w:r w:rsidRPr="006F0F87">
              <w:rPr>
                <w:highlight w:val="yellow"/>
              </w:rPr>
              <w:t>50mg QDS</w:t>
            </w:r>
          </w:p>
        </w:tc>
        <w:tc>
          <w:tcPr>
            <w:tcW w:w="1843" w:type="dxa"/>
            <w:tcBorders>
              <w:bottom w:val="nil"/>
            </w:tcBorders>
          </w:tcPr>
          <w:p w14:paraId="12BE6C68" w14:textId="77777777" w:rsidR="009D7241" w:rsidRPr="006F0F87" w:rsidRDefault="004B03F2">
            <w:pPr>
              <w:pStyle w:val="TableParagraph"/>
              <w:ind w:right="384"/>
              <w:rPr>
                <w:highlight w:val="yellow"/>
              </w:rPr>
            </w:pPr>
            <w:r w:rsidRPr="006F0F87">
              <w:rPr>
                <w:highlight w:val="yellow"/>
              </w:rPr>
              <w:t>Nitrofurantoin Modified Release</w:t>
            </w:r>
          </w:p>
        </w:tc>
        <w:tc>
          <w:tcPr>
            <w:tcW w:w="2409" w:type="dxa"/>
            <w:tcBorders>
              <w:bottom w:val="nil"/>
            </w:tcBorders>
          </w:tcPr>
          <w:p w14:paraId="2E518E79" w14:textId="77777777" w:rsidR="009D7241" w:rsidRPr="006F0F87" w:rsidRDefault="004B03F2">
            <w:pPr>
              <w:pStyle w:val="TableParagraph"/>
              <w:rPr>
                <w:highlight w:val="yellow"/>
              </w:rPr>
            </w:pPr>
            <w:r w:rsidRPr="006F0F87">
              <w:rPr>
                <w:highlight w:val="yellow"/>
              </w:rPr>
              <w:t>100mg BD</w:t>
            </w:r>
          </w:p>
          <w:p w14:paraId="09D396BF" w14:textId="77777777" w:rsidR="009D7241" w:rsidRPr="006F0F87" w:rsidRDefault="009D7241">
            <w:pPr>
              <w:pStyle w:val="TableParagraph"/>
              <w:spacing w:before="9"/>
              <w:ind w:left="0"/>
              <w:rPr>
                <w:b/>
                <w:sz w:val="21"/>
                <w:highlight w:val="yellow"/>
              </w:rPr>
            </w:pPr>
          </w:p>
          <w:p w14:paraId="154AC840" w14:textId="77777777" w:rsidR="009D7241" w:rsidRPr="006F0F87" w:rsidRDefault="004B03F2">
            <w:pPr>
              <w:pStyle w:val="TableParagraph"/>
              <w:rPr>
                <w:highlight w:val="yellow"/>
              </w:rPr>
            </w:pPr>
            <w:r w:rsidRPr="006F0F87">
              <w:rPr>
                <w:highlight w:val="yellow"/>
              </w:rPr>
              <w:t>Equivalent dose</w:t>
            </w:r>
          </w:p>
        </w:tc>
        <w:tc>
          <w:tcPr>
            <w:tcW w:w="2692" w:type="dxa"/>
            <w:tcBorders>
              <w:bottom w:val="nil"/>
            </w:tcBorders>
          </w:tcPr>
          <w:p w14:paraId="70F0EED4" w14:textId="77777777" w:rsidR="009D7241" w:rsidRPr="006F0F87" w:rsidRDefault="004B03F2">
            <w:pPr>
              <w:pStyle w:val="TableParagraph"/>
              <w:ind w:right="219"/>
              <w:rPr>
                <w:b/>
                <w:highlight w:val="yellow"/>
              </w:rPr>
            </w:pPr>
            <w:r w:rsidRPr="006F0F87">
              <w:rPr>
                <w:b/>
                <w:highlight w:val="yellow"/>
              </w:rPr>
              <w:t>Approved by ASG and in line with NICE Guidance NG109.</w:t>
            </w:r>
          </w:p>
        </w:tc>
      </w:tr>
      <w:tr w:rsidR="009D7241" w14:paraId="7138E279" w14:textId="77777777">
        <w:trPr>
          <w:trHeight w:val="1371"/>
        </w:trPr>
        <w:tc>
          <w:tcPr>
            <w:tcW w:w="2035" w:type="dxa"/>
            <w:tcBorders>
              <w:top w:val="nil"/>
            </w:tcBorders>
          </w:tcPr>
          <w:p w14:paraId="3AAEF0C0" w14:textId="77777777" w:rsidR="009D7241" w:rsidRPr="006F0F87" w:rsidRDefault="009D7241">
            <w:pPr>
              <w:pStyle w:val="TableParagraph"/>
              <w:ind w:left="0"/>
              <w:rPr>
                <w:rFonts w:ascii="Times New Roman"/>
                <w:sz w:val="20"/>
                <w:highlight w:val="yellow"/>
              </w:rPr>
            </w:pPr>
          </w:p>
        </w:tc>
        <w:tc>
          <w:tcPr>
            <w:tcW w:w="1759" w:type="dxa"/>
            <w:tcBorders>
              <w:top w:val="nil"/>
            </w:tcBorders>
          </w:tcPr>
          <w:p w14:paraId="6456BE6E" w14:textId="77777777" w:rsidR="009D7241" w:rsidRPr="006F0F87" w:rsidRDefault="009D7241">
            <w:pPr>
              <w:pStyle w:val="TableParagraph"/>
              <w:ind w:left="0"/>
              <w:rPr>
                <w:rFonts w:ascii="Times New Roman"/>
                <w:sz w:val="20"/>
                <w:highlight w:val="yellow"/>
              </w:rPr>
            </w:pPr>
          </w:p>
        </w:tc>
        <w:tc>
          <w:tcPr>
            <w:tcW w:w="1843" w:type="dxa"/>
            <w:tcBorders>
              <w:top w:val="nil"/>
            </w:tcBorders>
          </w:tcPr>
          <w:p w14:paraId="6ED46324" w14:textId="77777777" w:rsidR="009D7241" w:rsidRPr="006F0F87" w:rsidRDefault="009D7241">
            <w:pPr>
              <w:pStyle w:val="TableParagraph"/>
              <w:ind w:left="0"/>
              <w:rPr>
                <w:rFonts w:ascii="Times New Roman"/>
                <w:sz w:val="20"/>
                <w:highlight w:val="yellow"/>
              </w:rPr>
            </w:pPr>
          </w:p>
        </w:tc>
        <w:tc>
          <w:tcPr>
            <w:tcW w:w="2409" w:type="dxa"/>
            <w:tcBorders>
              <w:top w:val="nil"/>
            </w:tcBorders>
          </w:tcPr>
          <w:p w14:paraId="64EC4C78" w14:textId="77777777" w:rsidR="009D7241" w:rsidRPr="006F0F87" w:rsidRDefault="004B03F2">
            <w:pPr>
              <w:pStyle w:val="TableParagraph"/>
              <w:spacing w:before="123"/>
              <w:ind w:right="191"/>
              <w:rPr>
                <w:i/>
                <w:highlight w:val="yellow"/>
              </w:rPr>
            </w:pPr>
            <w:r w:rsidRPr="006F0F87">
              <w:rPr>
                <w:b/>
                <w:i/>
                <w:highlight w:val="yellow"/>
              </w:rPr>
              <w:t xml:space="preserve">Do not </w:t>
            </w:r>
            <w:r w:rsidRPr="006F0F87">
              <w:rPr>
                <w:i/>
                <w:highlight w:val="yellow"/>
              </w:rPr>
              <w:t>switch in patient with a feeding tube or swallowing difficulties.</w:t>
            </w:r>
          </w:p>
        </w:tc>
        <w:tc>
          <w:tcPr>
            <w:tcW w:w="2692" w:type="dxa"/>
            <w:tcBorders>
              <w:top w:val="nil"/>
            </w:tcBorders>
          </w:tcPr>
          <w:p w14:paraId="583E831D" w14:textId="77777777" w:rsidR="009D7241" w:rsidRPr="006F0F87" w:rsidRDefault="009D7241">
            <w:pPr>
              <w:pStyle w:val="TableParagraph"/>
              <w:ind w:left="0"/>
              <w:rPr>
                <w:rFonts w:ascii="Times New Roman"/>
                <w:sz w:val="20"/>
                <w:highlight w:val="yellow"/>
              </w:rPr>
            </w:pPr>
          </w:p>
        </w:tc>
      </w:tr>
    </w:tbl>
    <w:p w14:paraId="2E552E39" w14:textId="77777777" w:rsidR="00A32A5E" w:rsidRDefault="00A32A5E"/>
    <w:sectPr w:rsidR="00A32A5E">
      <w:pgSz w:w="11920" w:h="16850"/>
      <w:pgMar w:top="680" w:right="260" w:bottom="1240" w:left="68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E302" w14:textId="77777777" w:rsidR="00212F78" w:rsidRDefault="00212F78">
      <w:r>
        <w:separator/>
      </w:r>
    </w:p>
  </w:endnote>
  <w:endnote w:type="continuationSeparator" w:id="0">
    <w:p w14:paraId="0BD9119E" w14:textId="77777777" w:rsidR="00212F78" w:rsidRDefault="0021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24FD" w14:textId="77777777" w:rsidR="00E323D6" w:rsidRDefault="00E32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A4F9" w14:textId="77777777" w:rsidR="00E323D6" w:rsidRDefault="00E32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006" w14:textId="77777777" w:rsidR="00E323D6" w:rsidRDefault="00E323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A4E8" w14:textId="09CE4A17" w:rsidR="009D7241" w:rsidRDefault="005A1527">
    <w:pPr>
      <w:pStyle w:val="BodyText"/>
      <w:spacing w:line="14" w:lineRule="auto"/>
      <w:rPr>
        <w:sz w:val="20"/>
      </w:rPr>
    </w:pPr>
    <w:r>
      <w:rPr>
        <w:noProof/>
      </w:rPr>
      <mc:AlternateContent>
        <mc:Choice Requires="wps">
          <w:drawing>
            <wp:anchor distT="0" distB="0" distL="114300" distR="114300" simplePos="0" relativeHeight="487244288" behindDoc="1" locked="0" layoutInCell="1" allowOverlap="1" wp14:anchorId="28A10721" wp14:editId="6FEAFAD0">
              <wp:simplePos x="0" y="0"/>
              <wp:positionH relativeFrom="page">
                <wp:posOffset>4481830</wp:posOffset>
              </wp:positionH>
              <wp:positionV relativeFrom="page">
                <wp:posOffset>10001885</wp:posOffset>
              </wp:positionV>
              <wp:extent cx="2938145" cy="283210"/>
              <wp:effectExtent l="0" t="0" r="1460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AD47" w14:textId="30C47A96" w:rsidR="009D7241" w:rsidRDefault="004B03F2" w:rsidP="0014179C">
                          <w:pPr>
                            <w:spacing w:before="14" w:line="205" w:lineRule="exact"/>
                            <w:ind w:right="20"/>
                            <w:jc w:val="right"/>
                            <w:rPr>
                              <w:sz w:val="18"/>
                            </w:rPr>
                          </w:pPr>
                          <w:r>
                            <w:rPr>
                              <w:sz w:val="18"/>
                            </w:rPr>
                            <w:t xml:space="preserve">Therapeutic Substitution by Clinical </w:t>
                          </w:r>
                          <w:r w:rsidRPr="005A1527">
                            <w:rPr>
                              <w:sz w:val="18"/>
                            </w:rPr>
                            <w:t>Pharmacists</w:t>
                          </w:r>
                          <w:r w:rsidRPr="005A1527">
                            <w:rPr>
                              <w:spacing w:val="-25"/>
                              <w:sz w:val="18"/>
                            </w:rPr>
                            <w:t xml:space="preserve"> </w:t>
                          </w:r>
                          <w:r w:rsidR="0014179C" w:rsidRPr="005A1527">
                            <w:rPr>
                              <w:sz w:val="18"/>
                              <w:highlight w:val="yellow"/>
                            </w:rPr>
                            <w:t>V</w:t>
                          </w:r>
                          <w:r w:rsidR="005A1527" w:rsidRPr="005A1527">
                            <w:rPr>
                              <w:sz w:val="18"/>
                              <w:highlight w:val="yellow"/>
                            </w:rPr>
                            <w:t>ersion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10721" id="_x0000_t202" coordsize="21600,21600" o:spt="202" path="m,l,21600r21600,l21600,xe">
              <v:stroke joinstyle="miter"/>
              <v:path gradientshapeok="t" o:connecttype="rect"/>
            </v:shapetype>
            <v:shape id="Text Box 1" o:spid="_x0000_s1026" type="#_x0000_t202" style="position:absolute;margin-left:352.9pt;margin-top:787.55pt;width:231.35pt;height:22.3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" filled="f" stroked="f">
              <v:textbox inset="0,0,0,0">
                <w:txbxContent>
                  <w:p w14:paraId="7588AD47" w14:textId="30C47A96" w:rsidR="009D7241" w:rsidRDefault="004B03F2" w:rsidP="0014179C">
                    <w:pPr>
                      <w:spacing w:before="14" w:line="205" w:lineRule="exact"/>
                      <w:ind w:right="20"/>
                      <w:jc w:val="right"/>
                      <w:rPr>
                        <w:sz w:val="18"/>
                      </w:rPr>
                    </w:pPr>
                    <w:r>
                      <w:rPr>
                        <w:sz w:val="18"/>
                      </w:rPr>
                      <w:t xml:space="preserve">Therapeutic Substitution by Clinical </w:t>
                    </w:r>
                    <w:r w:rsidRPr="005A1527">
                      <w:rPr>
                        <w:sz w:val="18"/>
                      </w:rPr>
                      <w:t>Pharmacists</w:t>
                    </w:r>
                    <w:r w:rsidRPr="005A1527">
                      <w:rPr>
                        <w:spacing w:val="-25"/>
                        <w:sz w:val="18"/>
                      </w:rPr>
                      <w:t xml:space="preserve"> </w:t>
                    </w:r>
                    <w:r w:rsidR="0014179C" w:rsidRPr="005A1527">
                      <w:rPr>
                        <w:sz w:val="18"/>
                        <w:highlight w:val="yellow"/>
                      </w:rPr>
                      <w:t>V</w:t>
                    </w:r>
                    <w:r w:rsidR="005A1527" w:rsidRPr="005A1527">
                      <w:rPr>
                        <w:sz w:val="18"/>
                        <w:highlight w:val="yellow"/>
                      </w:rPr>
                      <w:t>ersion Date</w:t>
                    </w:r>
                  </w:p>
                </w:txbxContent>
              </v:textbox>
              <w10:wrap anchorx="page" anchory="page"/>
            </v:shape>
          </w:pict>
        </mc:Fallback>
      </mc:AlternateContent>
    </w:r>
    <w:r w:rsidR="004B03F2">
      <w:rPr>
        <w:noProof/>
      </w:rPr>
      <mc:AlternateContent>
        <mc:Choice Requires="wps">
          <w:drawing>
            <wp:anchor distT="0" distB="0" distL="114300" distR="114300" simplePos="0" relativeHeight="487243264" behindDoc="1" locked="0" layoutInCell="1" allowOverlap="1" wp14:anchorId="00C9BE44" wp14:editId="0EB2E1E1">
              <wp:simplePos x="0" y="0"/>
              <wp:positionH relativeFrom="page">
                <wp:posOffset>701675</wp:posOffset>
              </wp:positionH>
              <wp:positionV relativeFrom="page">
                <wp:posOffset>9834880</wp:posOffset>
              </wp:positionV>
              <wp:extent cx="653796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AF02" id="Line 3" o:spid="_x0000_s1026" style="position:absolute;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4.4pt" to="570.05pt,7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zouQEAAGEDAAAOAAAAZHJzL2Uyb0RvYy54bWysU02P0zAQvSPxHyzfadJFFD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" strokeweight=".48pt">
              <w10:wrap anchorx="page" anchory="page"/>
            </v:line>
          </w:pict>
        </mc:Fallback>
      </mc:AlternateContent>
    </w:r>
    <w:r w:rsidR="004B03F2">
      <w:rPr>
        <w:noProof/>
      </w:rPr>
      <mc:AlternateContent>
        <mc:Choice Requires="wps">
          <w:drawing>
            <wp:anchor distT="0" distB="0" distL="114300" distR="114300" simplePos="0" relativeHeight="487243776" behindDoc="1" locked="0" layoutInCell="1" allowOverlap="1" wp14:anchorId="5694E1A3" wp14:editId="49FD10E6">
              <wp:simplePos x="0" y="0"/>
              <wp:positionH relativeFrom="page">
                <wp:posOffset>3419475</wp:posOffset>
              </wp:positionH>
              <wp:positionV relativeFrom="page">
                <wp:posOffset>9836785</wp:posOffset>
              </wp:positionV>
              <wp:extent cx="63055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B44EB" w14:textId="77777777" w:rsidR="009D7241" w:rsidRDefault="004B03F2">
                          <w:pPr>
                            <w:spacing w:before="14"/>
                            <w:ind w:left="20"/>
                            <w:rPr>
                              <w:b/>
                              <w:sz w:val="18"/>
                            </w:rPr>
                          </w:pPr>
                          <w:r>
                            <w:rPr>
                              <w:b/>
                              <w:sz w:val="18"/>
                            </w:rPr>
                            <w:t xml:space="preserve">Page </w:t>
                          </w:r>
                          <w:r>
                            <w:fldChar w:fldCharType="begin"/>
                          </w:r>
                          <w:r>
                            <w:rPr>
                              <w:b/>
                              <w:sz w:val="18"/>
                            </w:rPr>
                            <w:instrText xml:space="preserve"> PAGE </w:instrText>
                          </w:r>
                          <w:r>
                            <w:fldChar w:fldCharType="separate"/>
                          </w:r>
                          <w:r>
                            <w:t>5</w:t>
                          </w:r>
                          <w:r>
                            <w:fldChar w:fldCharType="end"/>
                          </w:r>
                          <w:r>
                            <w:rPr>
                              <w:b/>
                              <w:sz w:val="18"/>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E1A3" id="Text Box 2" o:spid="_x0000_s1027" type="#_x0000_t202" style="position:absolute;margin-left:269.25pt;margin-top:774.55pt;width:49.65pt;height:12.1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" filled="f" stroked="f">
              <v:textbox inset="0,0,0,0">
                <w:txbxContent>
                  <w:p w14:paraId="449B44EB" w14:textId="77777777" w:rsidR="009D7241" w:rsidRDefault="004B03F2">
                    <w:pPr>
                      <w:spacing w:before="14"/>
                      <w:ind w:left="20"/>
                      <w:rPr>
                        <w:b/>
                        <w:sz w:val="18"/>
                      </w:rPr>
                    </w:pPr>
                    <w:r>
                      <w:rPr>
                        <w:b/>
                        <w:sz w:val="18"/>
                      </w:rPr>
                      <w:t xml:space="preserve">Page </w:t>
                    </w:r>
                    <w:r>
                      <w:fldChar w:fldCharType="begin"/>
                    </w:r>
                    <w:r>
                      <w:rPr>
                        <w:b/>
                        <w:sz w:val="18"/>
                      </w:rPr>
                      <w:instrText xml:space="preserve"> PAGE </w:instrText>
                    </w:r>
                    <w:r>
                      <w:fldChar w:fldCharType="separate"/>
                    </w:r>
                    <w:r>
                      <w:t>5</w:t>
                    </w:r>
                    <w:r>
                      <w:fldChar w:fldCharType="end"/>
                    </w:r>
                    <w:r>
                      <w:rPr>
                        <w:b/>
                        <w:sz w:val="18"/>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8299" w14:textId="77777777" w:rsidR="00212F78" w:rsidRDefault="00212F78">
      <w:r>
        <w:separator/>
      </w:r>
    </w:p>
  </w:footnote>
  <w:footnote w:type="continuationSeparator" w:id="0">
    <w:p w14:paraId="5DBD336E" w14:textId="77777777" w:rsidR="00212F78" w:rsidRDefault="0021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41EE" w14:textId="77777777" w:rsidR="00E323D6" w:rsidRDefault="00E32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0E60" w14:textId="72777163" w:rsidR="0014179C" w:rsidRDefault="00E323D6" w:rsidP="0014179C">
    <w:pPr>
      <w:pStyle w:val="Header"/>
      <w:jc w:val="right"/>
    </w:pPr>
    <w:r>
      <w:rPr>
        <w:noProof/>
      </w:rPr>
      <w:drawing>
        <wp:inline distT="0" distB="0" distL="0" distR="0" wp14:anchorId="6B45DC59" wp14:editId="7223260F">
          <wp:extent cx="1869003" cy="522261"/>
          <wp:effectExtent l="0" t="0" r="0" b="0"/>
          <wp:docPr id="9" name="Picture 8" descr="A close-up of a logo&#10;&#10;Description automatically generated">
            <a:extLst xmlns:a="http://schemas.openxmlformats.org/drawingml/2006/main">
              <a:ext uri="{FF2B5EF4-FFF2-40B4-BE49-F238E27FC236}">
                <a16:creationId xmlns:a16="http://schemas.microsoft.com/office/drawing/2014/main" id="{3F67F738-6FBB-6320-BE94-78E07E327F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up of a logo&#10;&#10;Description automatically generated">
                    <a:extLst>
                      <a:ext uri="{FF2B5EF4-FFF2-40B4-BE49-F238E27FC236}">
                        <a16:creationId xmlns:a16="http://schemas.microsoft.com/office/drawing/2014/main" id="{3F67F738-6FBB-6320-BE94-78E07E327F68}"/>
                      </a:ext>
                    </a:extLst>
                  </pic:cNvPr>
                  <pic:cNvPicPr>
                    <a:picLocks noChangeAspect="1"/>
                  </pic:cNvPicPr>
                </pic:nvPicPr>
                <pic:blipFill>
                  <a:blip r:embed="rId1"/>
                  <a:stretch>
                    <a:fillRect/>
                  </a:stretch>
                </pic:blipFill>
                <pic:spPr>
                  <a:xfrm>
                    <a:off x="0" y="0"/>
                    <a:ext cx="1869003" cy="5222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0770" w14:textId="77777777" w:rsidR="00E323D6" w:rsidRDefault="00E32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13B5"/>
    <w:multiLevelType w:val="multilevel"/>
    <w:tmpl w:val="40AA0FB2"/>
    <w:lvl w:ilvl="0">
      <w:start w:val="1"/>
      <w:numFmt w:val="decimal"/>
      <w:lvlText w:val="%1"/>
      <w:lvlJc w:val="left"/>
      <w:pPr>
        <w:ind w:left="1016" w:hanging="567"/>
        <w:jc w:val="left"/>
      </w:pPr>
      <w:rPr>
        <w:rFonts w:ascii="Arial" w:eastAsia="Arial" w:hAnsi="Arial" w:cs="Arial" w:hint="default"/>
        <w:b/>
        <w:bCs/>
        <w:w w:val="100"/>
        <w:sz w:val="28"/>
        <w:szCs w:val="28"/>
        <w:lang w:val="en-US" w:eastAsia="en-US" w:bidi="ar-SA"/>
      </w:rPr>
    </w:lvl>
    <w:lvl w:ilvl="1">
      <w:start w:val="1"/>
      <w:numFmt w:val="decimal"/>
      <w:lvlText w:val="%1.%2"/>
      <w:lvlJc w:val="left"/>
      <w:pPr>
        <w:ind w:left="1016" w:hanging="567"/>
        <w:jc w:val="right"/>
      </w:pPr>
      <w:rPr>
        <w:rFonts w:ascii="Arial" w:eastAsia="Arial" w:hAnsi="Arial" w:cs="Arial" w:hint="default"/>
        <w:b/>
        <w:bCs/>
        <w:spacing w:val="-2"/>
        <w:w w:val="98"/>
        <w:sz w:val="24"/>
        <w:szCs w:val="24"/>
        <w:lang w:val="en-US" w:eastAsia="en-US" w:bidi="ar-SA"/>
      </w:rPr>
    </w:lvl>
    <w:lvl w:ilvl="2">
      <w:start w:val="1"/>
      <w:numFmt w:val="decimal"/>
      <w:lvlText w:val="%1.%2.%3"/>
      <w:lvlJc w:val="left"/>
      <w:pPr>
        <w:ind w:left="1168" w:hanging="569"/>
        <w:jc w:val="left"/>
      </w:pPr>
      <w:rPr>
        <w:rFonts w:ascii="Arial" w:eastAsia="Arial" w:hAnsi="Arial" w:cs="Arial" w:hint="default"/>
        <w:b/>
        <w:bCs/>
        <w:spacing w:val="-2"/>
        <w:w w:val="100"/>
        <w:sz w:val="24"/>
        <w:szCs w:val="24"/>
        <w:lang w:val="en-US" w:eastAsia="en-US" w:bidi="ar-SA"/>
      </w:rPr>
    </w:lvl>
    <w:lvl w:ilvl="3">
      <w:numFmt w:val="bullet"/>
      <w:lvlText w:val="•"/>
      <w:lvlJc w:val="left"/>
      <w:pPr>
        <w:ind w:left="3340" w:hanging="569"/>
      </w:pPr>
      <w:rPr>
        <w:rFonts w:hint="default"/>
        <w:lang w:val="en-US" w:eastAsia="en-US" w:bidi="ar-SA"/>
      </w:rPr>
    </w:lvl>
    <w:lvl w:ilvl="4">
      <w:numFmt w:val="bullet"/>
      <w:lvlText w:val="•"/>
      <w:lvlJc w:val="left"/>
      <w:pPr>
        <w:ind w:left="4430" w:hanging="569"/>
      </w:pPr>
      <w:rPr>
        <w:rFonts w:hint="default"/>
        <w:lang w:val="en-US" w:eastAsia="en-US" w:bidi="ar-SA"/>
      </w:rPr>
    </w:lvl>
    <w:lvl w:ilvl="5">
      <w:numFmt w:val="bullet"/>
      <w:lvlText w:val="•"/>
      <w:lvlJc w:val="left"/>
      <w:pPr>
        <w:ind w:left="5520" w:hanging="569"/>
      </w:pPr>
      <w:rPr>
        <w:rFonts w:hint="default"/>
        <w:lang w:val="en-US" w:eastAsia="en-US" w:bidi="ar-SA"/>
      </w:rPr>
    </w:lvl>
    <w:lvl w:ilvl="6">
      <w:numFmt w:val="bullet"/>
      <w:lvlText w:val="•"/>
      <w:lvlJc w:val="left"/>
      <w:pPr>
        <w:ind w:left="6610" w:hanging="569"/>
      </w:pPr>
      <w:rPr>
        <w:rFonts w:hint="default"/>
        <w:lang w:val="en-US" w:eastAsia="en-US" w:bidi="ar-SA"/>
      </w:rPr>
    </w:lvl>
    <w:lvl w:ilvl="7">
      <w:numFmt w:val="bullet"/>
      <w:lvlText w:val="•"/>
      <w:lvlJc w:val="left"/>
      <w:pPr>
        <w:ind w:left="7700" w:hanging="569"/>
      </w:pPr>
      <w:rPr>
        <w:rFonts w:hint="default"/>
        <w:lang w:val="en-US" w:eastAsia="en-US" w:bidi="ar-SA"/>
      </w:rPr>
    </w:lvl>
    <w:lvl w:ilvl="8">
      <w:numFmt w:val="bullet"/>
      <w:lvlText w:val="•"/>
      <w:lvlJc w:val="left"/>
      <w:pPr>
        <w:ind w:left="8790" w:hanging="569"/>
      </w:pPr>
      <w:rPr>
        <w:rFonts w:hint="default"/>
        <w:lang w:val="en-US" w:eastAsia="en-US" w:bidi="ar-SA"/>
      </w:rPr>
    </w:lvl>
  </w:abstractNum>
  <w:num w:numId="1" w16cid:durableId="125832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41"/>
    <w:rsid w:val="00122A51"/>
    <w:rsid w:val="00125D2D"/>
    <w:rsid w:val="0014179C"/>
    <w:rsid w:val="001454A7"/>
    <w:rsid w:val="00212F78"/>
    <w:rsid w:val="003440A6"/>
    <w:rsid w:val="003B0D3A"/>
    <w:rsid w:val="004333E9"/>
    <w:rsid w:val="00444D16"/>
    <w:rsid w:val="004B03F2"/>
    <w:rsid w:val="005A1527"/>
    <w:rsid w:val="006F0F87"/>
    <w:rsid w:val="009D1D11"/>
    <w:rsid w:val="009D7241"/>
    <w:rsid w:val="009F45B5"/>
    <w:rsid w:val="00A32A5E"/>
    <w:rsid w:val="00A4769A"/>
    <w:rsid w:val="00C30884"/>
    <w:rsid w:val="00E323D6"/>
    <w:rsid w:val="00E60BCB"/>
    <w:rsid w:val="00EC1982"/>
    <w:rsid w:val="00F97B21"/>
    <w:rsid w:val="00FD2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482D"/>
  <w15:docId w15:val="{F22BCBED-939F-4670-8CF0-F633161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6" w:hanging="567"/>
      <w:outlineLvl w:val="0"/>
    </w:pPr>
    <w:rPr>
      <w:b/>
      <w:bCs/>
      <w:sz w:val="28"/>
      <w:szCs w:val="28"/>
    </w:rPr>
  </w:style>
  <w:style w:type="paragraph" w:styleId="Heading2">
    <w:name w:val="heading 2"/>
    <w:basedOn w:val="Normal"/>
    <w:uiPriority w:val="9"/>
    <w:unhideWhenUsed/>
    <w:qFormat/>
    <w:pPr>
      <w:ind w:left="4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6" w:hanging="567"/>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C30884"/>
    <w:pPr>
      <w:tabs>
        <w:tab w:val="center" w:pos="4513"/>
        <w:tab w:val="right" w:pos="9026"/>
      </w:tabs>
    </w:pPr>
  </w:style>
  <w:style w:type="character" w:customStyle="1" w:styleId="HeaderChar">
    <w:name w:val="Header Char"/>
    <w:basedOn w:val="DefaultParagraphFont"/>
    <w:link w:val="Header"/>
    <w:uiPriority w:val="99"/>
    <w:rsid w:val="00C30884"/>
    <w:rPr>
      <w:rFonts w:ascii="Arial" w:eastAsia="Arial" w:hAnsi="Arial" w:cs="Arial"/>
    </w:rPr>
  </w:style>
  <w:style w:type="paragraph" w:styleId="Footer">
    <w:name w:val="footer"/>
    <w:basedOn w:val="Normal"/>
    <w:link w:val="FooterChar"/>
    <w:uiPriority w:val="99"/>
    <w:unhideWhenUsed/>
    <w:rsid w:val="00C30884"/>
    <w:pPr>
      <w:tabs>
        <w:tab w:val="center" w:pos="4513"/>
        <w:tab w:val="right" w:pos="9026"/>
      </w:tabs>
    </w:pPr>
  </w:style>
  <w:style w:type="character" w:customStyle="1" w:styleId="FooterChar">
    <w:name w:val="Footer Char"/>
    <w:basedOn w:val="DefaultParagraphFont"/>
    <w:link w:val="Footer"/>
    <w:uiPriority w:val="99"/>
    <w:rsid w:val="00C3088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Anna Edwards</cp:lastModifiedBy>
  <cp:revision>16</cp:revision>
  <dcterms:created xsi:type="dcterms:W3CDTF">2023-08-18T09:58:00Z</dcterms:created>
  <dcterms:modified xsi:type="dcterms:W3CDTF">2023-09-26T08:51:00Z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PDFium</vt:lpwstr>
  </property>
  <property fmtid="{D5CDD505-2E9C-101B-9397-08002B2CF9AE}" pid="4" name="LastSaved">
    <vt:filetime>2023-02-09T00:00:00Z</vt:filetime>
  </property>
</Properties>
</file>